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D23F44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D23F44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026124D" w:rsidR="007E0223" w:rsidRPr="003D1573" w:rsidRDefault="00D23F4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4D6700">
        <w:trPr>
          <w:trHeight w:val="22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E97F3FB" w:rsidR="00D23F44" w:rsidRPr="004D6700" w:rsidRDefault="00D23F44" w:rsidP="00D23F44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Šivalni material</w:t>
            </w:r>
          </w:p>
        </w:tc>
      </w:tr>
    </w:tbl>
    <w:p w14:paraId="21F0311A" w14:textId="1698829F" w:rsidR="007E0223" w:rsidRPr="003D1573" w:rsidRDefault="007E0223" w:rsidP="00D23F44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76D95E82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23F44">
        <w:rPr>
          <w:rFonts w:ascii="Tahoma" w:eastAsia="Calibri" w:hAnsi="Tahoma" w:cs="Tahoma"/>
          <w:color w:val="000000"/>
          <w:sz w:val="18"/>
          <w:szCs w:val="18"/>
        </w:rPr>
        <w:t>Šivalni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388C2DD0" w:rsidR="00D5541E" w:rsidRPr="007E0223" w:rsidRDefault="00D23F44" w:rsidP="00D23F44">
      <w:pPr>
        <w:widowControl w:val="0"/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 xml:space="preserve">- </w:t>
      </w:r>
      <w:r w:rsidR="00D5541E"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0624C178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- </w:t>
      </w:r>
      <w:r w:rsidR="00D5541E"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neposredno ali prek drugih pravnih oseb v več kot pet odstotnem deležu udeležen pri ustanoviteljskih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D5541E" w:rsidRPr="00D23F44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pravicah, </w:t>
      </w:r>
    </w:p>
    <w:p w14:paraId="398D5296" w14:textId="77777777" w:rsidR="00D23F44" w:rsidRP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D23F44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upravljanju ali kapitalu.</w:t>
      </w:r>
    </w:p>
    <w:p w14:paraId="7F80D5E1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</w:p>
    <w:p w14:paraId="68FDF3F7" w14:textId="57D43E5C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76D84819" w14:textId="77777777" w:rsidR="00D23F44" w:rsidRDefault="00D23F44" w:rsidP="00D23F44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</w:p>
    <w:p w14:paraId="0C22C312" w14:textId="21828296" w:rsidR="00495EC3" w:rsidRPr="00D23F44" w:rsidRDefault="00495EC3" w:rsidP="00D23F44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D6700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23F44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2023-10-20T10:28:00Z</dcterms:modified>
</cp:coreProperties>
</file>