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64A9" w14:textId="3AA81853" w:rsidR="00CB343F" w:rsidRPr="000C20F9" w:rsidRDefault="00645BAD" w:rsidP="00CB343F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</w:t>
      </w:r>
      <w:r w:rsidR="00CB343F">
        <w:rPr>
          <w:rFonts w:ascii="Tahoma" w:eastAsia="Calibri" w:hAnsi="Tahoma" w:cs="Tahoma"/>
          <w:b/>
          <w:sz w:val="18"/>
          <w:szCs w:val="18"/>
        </w:rPr>
        <w:t>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FA94E5A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FA38D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E0F8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86CDF90" w:rsidR="00470C97" w:rsidRPr="000C20F9" w:rsidRDefault="00FA38D5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  <w:r w:rsidR="00F1459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6BB0CE36" w14:textId="77777777" w:rsidR="00CB343F" w:rsidRDefault="00CB343F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6F22E12" w14:textId="5DBA01D7" w:rsidR="000C20F9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4F64B18E" w:rsidR="00680E23" w:rsidRPr="00321360" w:rsidRDefault="00FA38D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Injektor kontrastnega sredstva na intereventni radiologiji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58792914" w:rsidR="00680E23" w:rsidRPr="00321360" w:rsidRDefault="00521D66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8F5ED2C" w14:textId="77777777" w:rsidR="001E1B34" w:rsidRPr="00321360" w:rsidRDefault="001E1B3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93" w:type="dxa"/>
        <w:tblLook w:val="04A0" w:firstRow="1" w:lastRow="0" w:firstColumn="1" w:lastColumn="0" w:noHBand="0" w:noVBand="1"/>
      </w:tblPr>
      <w:tblGrid>
        <w:gridCol w:w="1678"/>
        <w:gridCol w:w="541"/>
        <w:gridCol w:w="1231"/>
        <w:gridCol w:w="935"/>
        <w:gridCol w:w="2604"/>
        <w:gridCol w:w="2604"/>
      </w:tblGrid>
      <w:tr w:rsidR="00C6345B" w:rsidRPr="00321360" w14:paraId="048F110A" w14:textId="1564095F" w:rsidTr="00C6345B">
        <w:trPr>
          <w:trHeight w:val="916"/>
        </w:trPr>
        <w:tc>
          <w:tcPr>
            <w:tcW w:w="1678" w:type="dxa"/>
            <w:shd w:val="clear" w:color="auto" w:fill="99CC00"/>
          </w:tcPr>
          <w:p w14:paraId="35F15B0D" w14:textId="739686AD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7A1BE5FB" w14:textId="325E13BF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</w:t>
            </w:r>
            <w:r w:rsidR="008844C6">
              <w:rPr>
                <w:rFonts w:ascii="Tahoma" w:eastAsia="Calibri" w:hAnsi="Tahoma" w:cs="Tahoma"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let v EUR brez DDV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39C82D0C" w14:textId="640E4E35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življenske dobe </w:t>
            </w:r>
            <w:r w:rsidR="00AB61C2">
              <w:rPr>
                <w:rFonts w:ascii="Tahoma" w:eastAsia="Calibri" w:hAnsi="Tahoma" w:cs="Tahoma"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let v EUR z DDV </w:t>
            </w:r>
          </w:p>
        </w:tc>
      </w:tr>
      <w:tr w:rsidR="00C6345B" w:rsidRPr="00321360" w14:paraId="71C0F9A3" w14:textId="4F74ED4A" w:rsidTr="00C6345B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001" w14:textId="4524F580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81B" w14:textId="35EAFB1B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6345B" w:rsidRPr="00321360" w14:paraId="3DBA8ED5" w14:textId="0B69B70D" w:rsidTr="00C6345B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13AEC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02F22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C6345B" w:rsidRPr="000C20F9" w14:paraId="2A8686A0" w14:textId="293D1B25" w:rsidTr="00C6345B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2FD078C1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3D8547E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8473495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C6345B" w:rsidRPr="000C20F9" w14:paraId="05B56A90" w14:textId="77777777" w:rsidTr="00C6345B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F2724" w14:textId="245FCC0C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D7695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AF830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3001CE9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FEBC2C1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29B2A60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tbl>
      <w:tblPr>
        <w:tblW w:w="14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3269"/>
        <w:gridCol w:w="1079"/>
        <w:gridCol w:w="905"/>
        <w:gridCol w:w="1418"/>
        <w:gridCol w:w="850"/>
        <w:gridCol w:w="2693"/>
        <w:gridCol w:w="2669"/>
        <w:gridCol w:w="20"/>
      </w:tblGrid>
      <w:tr w:rsidR="007D4520" w:rsidRPr="005E70A8" w14:paraId="310F6972" w14:textId="514BEE18" w:rsidTr="000E0F8E">
        <w:trPr>
          <w:gridAfter w:val="1"/>
          <w:wAfter w:w="20" w:type="dxa"/>
          <w:trHeight w:val="56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B8B" w14:textId="2D3A7B78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3909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7D9" w14:textId="074A79CC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Postavka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8D" w14:textId="789A9184" w:rsidR="00CB343F" w:rsidRPr="005E70A8" w:rsidRDefault="000E0F8E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Ocenjena k</w:t>
            </w:r>
            <w:r w:rsidR="00CB343F">
              <w:rPr>
                <w:rFonts w:ascii="Tahoma" w:eastAsia="Calibri" w:hAnsi="Tahoma" w:cs="Tahoma"/>
                <w:sz w:val="18"/>
                <w:szCs w:val="18"/>
              </w:rPr>
              <w:t>oličina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obdobje </w:t>
            </w:r>
            <w:r w:rsidR="008844C6">
              <w:rPr>
                <w:rFonts w:ascii="Tahoma" w:eastAsia="Calibri" w:hAnsi="Tahoma" w:cs="Tahoma"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sz w:val="18"/>
                <w:szCs w:val="18"/>
              </w:rPr>
              <w:t>-ih let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5FBE10A" w14:textId="7A878ED3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6BD6C59" w14:textId="66E30968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na Enoto v EUR brez DDV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0BC31BF" w14:textId="111BE6D9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0F43F98" w14:textId="0C0DF00D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celotno (ocenjeno) količino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 za obdobje </w:t>
            </w:r>
            <w:r w:rsidR="008844C6">
              <w:rPr>
                <w:rFonts w:ascii="Tahoma" w:eastAsia="Calibri" w:hAnsi="Tahoma" w:cs="Tahoma"/>
                <w:sz w:val="18"/>
                <w:szCs w:val="18"/>
              </w:rPr>
              <w:t xml:space="preserve">7 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let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F9E4A9" w14:textId="6BE762D0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celotno (ocenjeno) količino 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za obdobje</w:t>
            </w:r>
            <w:r w:rsidR="00C6345B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8844C6">
              <w:rPr>
                <w:rFonts w:ascii="Tahoma" w:eastAsia="Calibri" w:hAnsi="Tahoma" w:cs="Tahoma"/>
                <w:sz w:val="18"/>
                <w:szCs w:val="18"/>
              </w:rPr>
              <w:t>7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 let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v EUR z DDV. </w:t>
            </w:r>
          </w:p>
        </w:tc>
      </w:tr>
      <w:tr w:rsidR="007D4520" w:rsidRPr="005E70A8" w14:paraId="7348F3EA" w14:textId="30FBB291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EBA" w14:textId="06A56E21" w:rsidR="00CB343F" w:rsidRPr="006C51D2" w:rsidRDefault="00D30B77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3.1.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8449" w14:textId="1518B434" w:rsidR="00CB343F" w:rsidRPr="006C51D2" w:rsidRDefault="007D4520" w:rsidP="001932C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Sistem z 100ml </w:t>
            </w:r>
            <w:r w:rsidR="008844C6">
              <w:rPr>
                <w:rFonts w:ascii="Tahoma" w:eastAsia="Calibri" w:hAnsi="Tahoma" w:cs="Tahoma"/>
                <w:bCs/>
                <w:sz w:val="18"/>
                <w:szCs w:val="18"/>
              </w:rPr>
              <w:t>brizga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lko ali več za ponujeni sistem injektorja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A0EA" w14:textId="5005DB73" w:rsidR="00CB343F" w:rsidRPr="000E0F8E" w:rsidRDefault="008844C6" w:rsidP="005648E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1.820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288" w14:textId="1AF54061" w:rsidR="00CB343F" w:rsidRPr="006C51D2" w:rsidRDefault="00D30B77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</w:t>
            </w:r>
            <w:r w:rsidR="008844C6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22F" w14:textId="100403C9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13A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69C" w14:textId="7ECD61CC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5D7" w14:textId="6787FA33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42FE227E" w14:textId="55C60E58" w:rsidR="00CB343F" w:rsidRPr="005E70A8" w:rsidRDefault="00CB343F" w:rsidP="005648ED"/>
        </w:tc>
      </w:tr>
      <w:tr w:rsidR="007D4520" w:rsidRPr="005E70A8" w14:paraId="6FE68F25" w14:textId="77777777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A67D" w14:textId="0F57A091" w:rsidR="008844C6" w:rsidRDefault="008844C6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3.2.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CFC5" w14:textId="52B6CD39" w:rsidR="008844C6" w:rsidRDefault="007D4520" w:rsidP="001932C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Sistem za ročno kontrolo infuzije s 3 potnim petelinčkom ter vsaj 137cm </w:t>
            </w:r>
            <w:r w:rsidR="008C7BC4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ali več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dolgim visokotlačnim podaljškom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818B" w14:textId="0544C6CC" w:rsidR="008844C6" w:rsidRDefault="008844C6" w:rsidP="005648E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7.000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E8D" w14:textId="191684B8" w:rsidR="008844C6" w:rsidRDefault="008844C6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735" w14:textId="6028914D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9E1" w14:textId="77777777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D78" w14:textId="2EE14417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18A" w14:textId="12FDE1B4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7202C904" w14:textId="77777777" w:rsidR="008844C6" w:rsidRPr="005E70A8" w:rsidRDefault="008844C6" w:rsidP="005648ED"/>
        </w:tc>
      </w:tr>
      <w:tr w:rsidR="007D4520" w:rsidRPr="005E70A8" w14:paraId="51D7CD16" w14:textId="77777777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3080" w14:textId="365AF175" w:rsidR="008844C6" w:rsidRDefault="008844C6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lastRenderedPageBreak/>
              <w:t xml:space="preserve">3.3.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57E6" w14:textId="56DCA088" w:rsidR="008844C6" w:rsidRDefault="007D4520" w:rsidP="001932C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Avtomatski razdelilni set s portoma za fiziološko raztopino in kontrast in transducer komoro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CB47" w14:textId="0F059A27" w:rsidR="008844C6" w:rsidRDefault="008844C6" w:rsidP="005648E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1.820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987" w14:textId="5849F95D" w:rsidR="008844C6" w:rsidRDefault="008844C6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57F" w14:textId="21C2B207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7F3" w14:textId="77777777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735" w14:textId="453480F2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59B" w14:textId="0A43ABEB" w:rsidR="008844C6" w:rsidRPr="006C51D2" w:rsidRDefault="008844C6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0CDB3DA0" w14:textId="77777777" w:rsidR="008844C6" w:rsidRPr="005E70A8" w:rsidRDefault="008844C6" w:rsidP="005648ED"/>
        </w:tc>
      </w:tr>
    </w:tbl>
    <w:p w14:paraId="1AE18E13" w14:textId="2A6E4E12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 xml:space="preserve"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</w:t>
      </w:r>
      <w:r w:rsidR="002268F0">
        <w:rPr>
          <w:sz w:val="18"/>
          <w:szCs w:val="18"/>
        </w:rPr>
        <w:t xml:space="preserve">stroške demontaže in odvoza </w:t>
      </w:r>
      <w:r w:rsidR="002D08AB">
        <w:rPr>
          <w:sz w:val="18"/>
          <w:szCs w:val="18"/>
        </w:rPr>
        <w:t>st</w:t>
      </w:r>
      <w:r w:rsidR="002268F0">
        <w:rPr>
          <w:sz w:val="18"/>
          <w:szCs w:val="18"/>
        </w:rPr>
        <w:t>a</w:t>
      </w:r>
      <w:r w:rsidR="002D08AB">
        <w:rPr>
          <w:sz w:val="18"/>
          <w:szCs w:val="18"/>
        </w:rPr>
        <w:t>rega</w:t>
      </w:r>
      <w:r w:rsidR="002268F0">
        <w:rPr>
          <w:sz w:val="18"/>
          <w:szCs w:val="18"/>
        </w:rPr>
        <w:t xml:space="preserve"> injektorja, </w:t>
      </w:r>
      <w:r w:rsidRPr="000C20F9">
        <w:rPr>
          <w:sz w:val="18"/>
          <w:szCs w:val="18"/>
        </w:rPr>
        <w:t>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</w:p>
    <w:p w14:paraId="24E161A4" w14:textId="77777777" w:rsidR="00272FD9" w:rsidRDefault="00272FD9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</w:p>
    <w:p w14:paraId="13CAD06C" w14:textId="19912A21" w:rsidR="00D30B77" w:rsidRPr="00D30B77" w:rsidRDefault="00272FD9" w:rsidP="00A71BE7">
      <w:pPr>
        <w:pStyle w:val="Slog2"/>
        <w:shd w:val="clear" w:color="auto" w:fill="auto"/>
        <w:spacing w:before="0"/>
        <w:outlineLvl w:val="9"/>
      </w:pPr>
      <w:r>
        <w:rPr>
          <w:rFonts w:eastAsia="HG Mincho Light J;Times New Rom"/>
          <w:sz w:val="18"/>
          <w:szCs w:val="18"/>
        </w:rPr>
        <w:t>**</w:t>
      </w:r>
      <w:r w:rsidR="00D30B77">
        <w:rPr>
          <w:rFonts w:eastAsia="HG Mincho Light J;Times New Rom"/>
          <w:sz w:val="18"/>
          <w:szCs w:val="18"/>
        </w:rPr>
        <w:t xml:space="preserve"> </w:t>
      </w:r>
      <w:r w:rsidR="00D30B77" w:rsidRPr="00D30B77">
        <w:rPr>
          <w:sz w:val="18"/>
          <w:szCs w:val="18"/>
        </w:rPr>
        <w:t xml:space="preserve">V ponudbo je potrebno predložiti seznam iz katerega bo razviden ves predvideni potrošni material za obdobje </w:t>
      </w:r>
      <w:r w:rsidR="008844C6">
        <w:rPr>
          <w:sz w:val="18"/>
          <w:szCs w:val="18"/>
        </w:rPr>
        <w:t>7</w:t>
      </w:r>
      <w:r w:rsidR="00D30B77" w:rsidRPr="00D30B77">
        <w:rPr>
          <w:sz w:val="18"/>
          <w:szCs w:val="18"/>
        </w:rPr>
        <w:t>-ih let po posamezni postavki. Vsaka posamezna postavka mora vsebovati:</w:t>
      </w:r>
    </w:p>
    <w:p w14:paraId="66AA81EB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b/>
          <w:bCs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b/>
          <w:bCs/>
          <w:sz w:val="18"/>
          <w:szCs w:val="18"/>
          <w:lang w:eastAsia="zh-CN"/>
        </w:rPr>
        <w:tab/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>Slovenski naziv materiala,</w:t>
      </w:r>
    </w:p>
    <w:p w14:paraId="36470789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Proizvajalec</w:t>
      </w:r>
    </w:p>
    <w:p w14:paraId="5DF8F393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Originalni naziv proizvajalca</w:t>
      </w:r>
    </w:p>
    <w:p w14:paraId="32A54251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Velikost oz. dimenzije medicinskega pripomočka</w:t>
      </w:r>
    </w:p>
    <w:p w14:paraId="08EDF732" w14:textId="7BFA5898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Katalogna številka</w:t>
      </w:r>
      <w:r>
        <w:rPr>
          <w:rFonts w:ascii="Tahoma" w:eastAsia="Calibri" w:hAnsi="Tahoma" w:cs="Tahoma"/>
          <w:sz w:val="18"/>
          <w:szCs w:val="18"/>
          <w:lang w:eastAsia="zh-CN"/>
        </w:rPr>
        <w:t xml:space="preserve"> in</w:t>
      </w:r>
    </w:p>
    <w:p w14:paraId="2C30DD81" w14:textId="50DA8689" w:rsidR="00D30B77" w:rsidRPr="00D30B77" w:rsidRDefault="00D30B77" w:rsidP="00D30B77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bookmarkStart w:id="1" w:name="_Hlk112665338"/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Velikost pakiranja – število kosov v pakiranju</w:t>
      </w:r>
      <w:bookmarkEnd w:id="1"/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" w:name="_Hlk73358809"/>
      <w:bookmarkEnd w:id="2"/>
      <w:bookmarkEnd w:id="3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5BB9" w14:textId="77777777" w:rsidR="009E4E2B" w:rsidRDefault="009E4E2B" w:rsidP="00D5128C">
      <w:pPr>
        <w:spacing w:after="0" w:line="240" w:lineRule="auto"/>
      </w:pPr>
      <w:r>
        <w:separator/>
      </w:r>
    </w:p>
  </w:endnote>
  <w:endnote w:type="continuationSeparator" w:id="0">
    <w:p w14:paraId="69ADBD84" w14:textId="77777777" w:rsidR="009E4E2B" w:rsidRDefault="009E4E2B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;Times New Ro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EAFF" w14:textId="77777777" w:rsidR="009E4E2B" w:rsidRDefault="009E4E2B" w:rsidP="00D5128C">
      <w:pPr>
        <w:spacing w:after="0" w:line="240" w:lineRule="auto"/>
      </w:pPr>
      <w:r>
        <w:separator/>
      </w:r>
    </w:p>
  </w:footnote>
  <w:footnote w:type="continuationSeparator" w:id="0">
    <w:p w14:paraId="28F9BED6" w14:textId="77777777" w:rsidR="009E4E2B" w:rsidRDefault="009E4E2B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E8C"/>
    <w:multiLevelType w:val="hybridMultilevel"/>
    <w:tmpl w:val="5FF25DA4"/>
    <w:lvl w:ilvl="0" w:tplc="7CE85A3E"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198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38EA"/>
    <w:rsid w:val="0000533A"/>
    <w:rsid w:val="00027C24"/>
    <w:rsid w:val="000609AE"/>
    <w:rsid w:val="00075B9D"/>
    <w:rsid w:val="000C20F9"/>
    <w:rsid w:val="000D6A40"/>
    <w:rsid w:val="000E022D"/>
    <w:rsid w:val="000E0F8E"/>
    <w:rsid w:val="000F4386"/>
    <w:rsid w:val="001031F0"/>
    <w:rsid w:val="00142355"/>
    <w:rsid w:val="001548C0"/>
    <w:rsid w:val="001714B4"/>
    <w:rsid w:val="0019272A"/>
    <w:rsid w:val="001932CF"/>
    <w:rsid w:val="001D0622"/>
    <w:rsid w:val="001D5775"/>
    <w:rsid w:val="001E1B34"/>
    <w:rsid w:val="001F6BE0"/>
    <w:rsid w:val="002268F0"/>
    <w:rsid w:val="00226C6E"/>
    <w:rsid w:val="002435D5"/>
    <w:rsid w:val="00253B02"/>
    <w:rsid w:val="00267123"/>
    <w:rsid w:val="00272FD9"/>
    <w:rsid w:val="00292967"/>
    <w:rsid w:val="002A442E"/>
    <w:rsid w:val="002D08AB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3D7CC3"/>
    <w:rsid w:val="003E1C9B"/>
    <w:rsid w:val="00430C67"/>
    <w:rsid w:val="00436DD5"/>
    <w:rsid w:val="00452045"/>
    <w:rsid w:val="00470C97"/>
    <w:rsid w:val="004948BF"/>
    <w:rsid w:val="004975A4"/>
    <w:rsid w:val="004A2D8C"/>
    <w:rsid w:val="004A6310"/>
    <w:rsid w:val="004A68F6"/>
    <w:rsid w:val="004D0C1F"/>
    <w:rsid w:val="00521D66"/>
    <w:rsid w:val="00522299"/>
    <w:rsid w:val="00522BC2"/>
    <w:rsid w:val="00522F8D"/>
    <w:rsid w:val="005312E3"/>
    <w:rsid w:val="005403F3"/>
    <w:rsid w:val="00557F55"/>
    <w:rsid w:val="005648ED"/>
    <w:rsid w:val="00575DC6"/>
    <w:rsid w:val="0059751A"/>
    <w:rsid w:val="005A74F3"/>
    <w:rsid w:val="005A7D05"/>
    <w:rsid w:val="005C776C"/>
    <w:rsid w:val="005D0078"/>
    <w:rsid w:val="005E70A8"/>
    <w:rsid w:val="005F4597"/>
    <w:rsid w:val="00604A6A"/>
    <w:rsid w:val="00645BAD"/>
    <w:rsid w:val="00654BB5"/>
    <w:rsid w:val="00680E23"/>
    <w:rsid w:val="00697502"/>
    <w:rsid w:val="006C51D2"/>
    <w:rsid w:val="006C5371"/>
    <w:rsid w:val="006D5FF1"/>
    <w:rsid w:val="006E53BF"/>
    <w:rsid w:val="007238D5"/>
    <w:rsid w:val="00733F89"/>
    <w:rsid w:val="00747F9A"/>
    <w:rsid w:val="0076166E"/>
    <w:rsid w:val="00766E02"/>
    <w:rsid w:val="007779FB"/>
    <w:rsid w:val="007845FE"/>
    <w:rsid w:val="007A0501"/>
    <w:rsid w:val="007A42C8"/>
    <w:rsid w:val="007B1276"/>
    <w:rsid w:val="007C768C"/>
    <w:rsid w:val="007D4520"/>
    <w:rsid w:val="007F31C1"/>
    <w:rsid w:val="008021E3"/>
    <w:rsid w:val="0080780B"/>
    <w:rsid w:val="00835876"/>
    <w:rsid w:val="00846236"/>
    <w:rsid w:val="00855546"/>
    <w:rsid w:val="00864185"/>
    <w:rsid w:val="00867124"/>
    <w:rsid w:val="008844C6"/>
    <w:rsid w:val="008C2042"/>
    <w:rsid w:val="008C7BC4"/>
    <w:rsid w:val="00947588"/>
    <w:rsid w:val="009833CC"/>
    <w:rsid w:val="0099650B"/>
    <w:rsid w:val="009A5EA7"/>
    <w:rsid w:val="009B7A7C"/>
    <w:rsid w:val="009C3A9F"/>
    <w:rsid w:val="009D266B"/>
    <w:rsid w:val="009E4E2B"/>
    <w:rsid w:val="00A22199"/>
    <w:rsid w:val="00A3037A"/>
    <w:rsid w:val="00A32C3A"/>
    <w:rsid w:val="00A406C2"/>
    <w:rsid w:val="00A91FEF"/>
    <w:rsid w:val="00AB09D2"/>
    <w:rsid w:val="00AB61C2"/>
    <w:rsid w:val="00AB7374"/>
    <w:rsid w:val="00AD1A78"/>
    <w:rsid w:val="00AF6EC7"/>
    <w:rsid w:val="00AF727C"/>
    <w:rsid w:val="00B164B8"/>
    <w:rsid w:val="00B35A47"/>
    <w:rsid w:val="00B44BEA"/>
    <w:rsid w:val="00B777B4"/>
    <w:rsid w:val="00BA638D"/>
    <w:rsid w:val="00BC4118"/>
    <w:rsid w:val="00BD358C"/>
    <w:rsid w:val="00BF4B6B"/>
    <w:rsid w:val="00C170DB"/>
    <w:rsid w:val="00C410C7"/>
    <w:rsid w:val="00C52808"/>
    <w:rsid w:val="00C6009D"/>
    <w:rsid w:val="00C6345B"/>
    <w:rsid w:val="00C80C3C"/>
    <w:rsid w:val="00C91819"/>
    <w:rsid w:val="00CA5E92"/>
    <w:rsid w:val="00CB343F"/>
    <w:rsid w:val="00CC48D7"/>
    <w:rsid w:val="00CF4EAF"/>
    <w:rsid w:val="00D06C29"/>
    <w:rsid w:val="00D30B77"/>
    <w:rsid w:val="00D41AA0"/>
    <w:rsid w:val="00D5128C"/>
    <w:rsid w:val="00D52F5D"/>
    <w:rsid w:val="00D574D2"/>
    <w:rsid w:val="00D72C62"/>
    <w:rsid w:val="00D75EE0"/>
    <w:rsid w:val="00DA7CE9"/>
    <w:rsid w:val="00DB1EF1"/>
    <w:rsid w:val="00DC18E5"/>
    <w:rsid w:val="00E10098"/>
    <w:rsid w:val="00E16246"/>
    <w:rsid w:val="00E22AE3"/>
    <w:rsid w:val="00E46A5C"/>
    <w:rsid w:val="00E60EE2"/>
    <w:rsid w:val="00EC438E"/>
    <w:rsid w:val="00F028C0"/>
    <w:rsid w:val="00F14599"/>
    <w:rsid w:val="00F42E1B"/>
    <w:rsid w:val="00F730B5"/>
    <w:rsid w:val="00F80032"/>
    <w:rsid w:val="00F910F4"/>
    <w:rsid w:val="00FA38D5"/>
    <w:rsid w:val="00FA6C6B"/>
    <w:rsid w:val="00FC1276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22D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0E0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cp:lastPrinted>2022-04-25T09:20:00Z</cp:lastPrinted>
  <dcterms:created xsi:type="dcterms:W3CDTF">2023-10-11T07:01:00Z</dcterms:created>
  <dcterms:modified xsi:type="dcterms:W3CDTF">2023-10-19T05:04:00Z</dcterms:modified>
</cp:coreProperties>
</file>