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E6654F4" w:rsidR="00042106" w:rsidRPr="00C67CE9" w:rsidRDefault="00C30618" w:rsidP="00C3061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30618">
              <w:rPr>
                <w:rFonts w:ascii="Tahoma" w:eastAsia="Calibri" w:hAnsi="Tahoma" w:cs="Tahoma"/>
                <w:sz w:val="20"/>
                <w:szCs w:val="20"/>
              </w:rPr>
              <w:t>200-25/2022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01D3275F" w:rsidR="00042106" w:rsidRPr="00C67CE9" w:rsidRDefault="00C30618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30618">
              <w:rPr>
                <w:rFonts w:ascii="Tahoma" w:eastAsia="Calibri" w:hAnsi="Tahoma" w:cs="Tahoma"/>
                <w:sz w:val="20"/>
                <w:szCs w:val="20"/>
              </w:rPr>
              <w:t>Mikrobiološki material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7D71BC5" w:rsidR="00042106" w:rsidRPr="00C30618" w:rsidRDefault="00C3061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306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200-25/2022</w:t>
            </w:r>
            <w:r w:rsidR="00042106" w:rsidRPr="00C306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C306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C306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60B9FC6" w:rsidR="00042106" w:rsidRPr="00C67CE9" w:rsidRDefault="00C30618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Mikrobiološki material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30618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2022-10-07T12:13:00Z</dcterms:modified>
</cp:coreProperties>
</file>