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621E2F62" w:rsidR="00F96AD8" w:rsidRPr="00A817CD" w:rsidRDefault="000D56BD" w:rsidP="00F96AD8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A817C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263-</w:t>
            </w:r>
            <w:r w:rsidR="0056683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  <w:r w:rsidRPr="00A817C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A817CD" w:rsidRPr="00A817C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F216A0E" w14:textId="5DDCF1D1" w:rsidR="000D56BD" w:rsidRPr="00A817CD" w:rsidRDefault="000D56BD" w:rsidP="000D56BD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817CD">
              <w:rPr>
                <w:rFonts w:ascii="Tahoma" w:hAnsi="Tahoma" w:cs="Tahoma"/>
                <w:b/>
                <w:bCs/>
                <w:sz w:val="20"/>
                <w:szCs w:val="20"/>
              </w:rPr>
              <w:t>Čistila in pribor</w:t>
            </w:r>
            <w:r w:rsidR="00A817CD" w:rsidRPr="00A817C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- ponovitev</w:t>
            </w:r>
          </w:p>
          <w:p w14:paraId="7811EEB5" w14:textId="2E84D2C3" w:rsidR="00F96AD8" w:rsidRPr="00F96AD8" w:rsidRDefault="00F96AD8" w:rsidP="000D56B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0951844">
    <w:abstractNumId w:val="2"/>
  </w:num>
  <w:num w:numId="2" w16cid:durableId="752701330">
    <w:abstractNumId w:val="0"/>
  </w:num>
  <w:num w:numId="3" w16cid:durableId="1763524671">
    <w:abstractNumId w:val="1"/>
  </w:num>
  <w:num w:numId="4" w16cid:durableId="3725072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56BD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54E1"/>
    <w:rsid w:val="00370620"/>
    <w:rsid w:val="00416782"/>
    <w:rsid w:val="004E7CF6"/>
    <w:rsid w:val="00526C50"/>
    <w:rsid w:val="00564D17"/>
    <w:rsid w:val="00566833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17CD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19</cp:revision>
  <dcterms:created xsi:type="dcterms:W3CDTF">2017-06-19T09:34:00Z</dcterms:created>
  <dcterms:modified xsi:type="dcterms:W3CDTF">2022-07-20T11:22:00Z</dcterms:modified>
</cp:coreProperties>
</file>