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AC2F6F" w:rsidP="00332952">
            <w:pPr>
              <w:keepLines/>
              <w:widowControl w:val="0"/>
              <w:spacing w:after="0" w:line="240" w:lineRule="auto"/>
              <w:rPr>
                <w:rFonts w:ascii="Tahoma" w:hAnsi="Tahoma" w:cs="Tahoma"/>
                <w:sz w:val="18"/>
                <w:szCs w:val="18"/>
                <w:lang w:val="sl-SI"/>
              </w:rPr>
            </w:pPr>
            <w:hyperlink r:id="rId9"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C86A9F">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737EEE" w14:textId="114F4D15" w:rsidR="00A62D82" w:rsidRPr="00B77181" w:rsidRDefault="007E7421" w:rsidP="00B7718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w:t>
            </w:r>
            <w:r w:rsidRPr="00D751FD">
              <w:rPr>
                <w:rFonts w:ascii="Tahoma" w:hAnsi="Tahoma" w:cs="Tahoma"/>
                <w:b/>
                <w:sz w:val="18"/>
                <w:szCs w:val="18"/>
                <w:lang w:val="sl-SI"/>
              </w:rPr>
              <w:t xml:space="preserve">DOBAVI </w:t>
            </w:r>
            <w:r w:rsidR="00C86A9F" w:rsidRPr="00D751FD">
              <w:t xml:space="preserve"> </w:t>
            </w:r>
            <w:r w:rsidR="00A62D82" w:rsidRPr="00D751FD">
              <w:rPr>
                <w:rFonts w:ascii="Tahoma" w:hAnsi="Tahoma" w:cs="Tahoma"/>
                <w:b/>
                <w:sz w:val="18"/>
                <w:szCs w:val="18"/>
                <w:lang w:val="sl-SI"/>
              </w:rPr>
              <w:t>Mikrobiološki</w:t>
            </w:r>
            <w:r w:rsidR="00B20542" w:rsidRPr="00D751FD">
              <w:rPr>
                <w:rFonts w:ascii="Tahoma" w:hAnsi="Tahoma" w:cs="Tahoma"/>
                <w:b/>
                <w:sz w:val="18"/>
                <w:szCs w:val="18"/>
                <w:lang w:val="sl-SI"/>
              </w:rPr>
              <w:t>i material</w:t>
            </w:r>
            <w:r w:rsidRPr="00D751FD">
              <w:rPr>
                <w:rFonts w:ascii="Tahoma" w:hAnsi="Tahoma" w:cs="Tahoma"/>
                <w:b/>
                <w:sz w:val="18"/>
                <w:szCs w:val="18"/>
                <w:lang w:val="sl-SI"/>
              </w:rPr>
              <w:t xml:space="preserve">; </w:t>
            </w:r>
          </w:p>
          <w:p w14:paraId="368EB61F" w14:textId="6A2B4DE9" w:rsidR="00C86A9F" w:rsidRPr="00D751FD" w:rsidRDefault="00C86A9F" w:rsidP="00C86A9F">
            <w:pPr>
              <w:keepLines/>
              <w:widowControl w:val="0"/>
              <w:spacing w:after="0" w:line="240" w:lineRule="auto"/>
              <w:jc w:val="center"/>
              <w:rPr>
                <w:rFonts w:ascii="Tahoma" w:hAnsi="Tahoma" w:cs="Tahoma"/>
                <w:b/>
                <w:bCs/>
                <w:sz w:val="18"/>
                <w:szCs w:val="18"/>
              </w:rPr>
            </w:pPr>
            <w:r w:rsidRPr="00D751FD">
              <w:rPr>
                <w:rFonts w:ascii="Tahoma" w:hAnsi="Tahoma" w:cs="Tahoma"/>
                <w:b/>
                <w:bCs/>
                <w:sz w:val="18"/>
                <w:szCs w:val="18"/>
              </w:rPr>
              <w:t>Š</w:t>
            </w:r>
            <w:r w:rsidR="00A62D82" w:rsidRPr="00D751FD">
              <w:rPr>
                <w:rFonts w:ascii="Tahoma" w:hAnsi="Tahoma" w:cs="Tahoma"/>
                <w:b/>
                <w:bCs/>
                <w:sz w:val="18"/>
                <w:szCs w:val="18"/>
              </w:rPr>
              <w:t>tevilka: 200-</w:t>
            </w:r>
            <w:r w:rsidR="0069735F">
              <w:rPr>
                <w:rFonts w:ascii="Tahoma" w:hAnsi="Tahoma" w:cs="Tahoma"/>
                <w:b/>
                <w:bCs/>
                <w:sz w:val="18"/>
                <w:szCs w:val="18"/>
              </w:rPr>
              <w:t>8/</w:t>
            </w:r>
            <w:r w:rsidR="00AC2F6F">
              <w:rPr>
                <w:rFonts w:ascii="Tahoma" w:hAnsi="Tahoma" w:cs="Tahoma"/>
                <w:b/>
                <w:bCs/>
                <w:sz w:val="18"/>
                <w:szCs w:val="18"/>
              </w:rPr>
              <w:t>2021</w:t>
            </w:r>
            <w:bookmarkStart w:id="1" w:name="_GoBack"/>
            <w:bookmarkEnd w:id="1"/>
            <w:r w:rsidRPr="00D751FD">
              <w:rPr>
                <w:rFonts w:ascii="Tahoma" w:hAnsi="Tahoma" w:cs="Tahoma"/>
                <w:b/>
                <w:bCs/>
                <w:sz w:val="18"/>
                <w:szCs w:val="18"/>
              </w:rPr>
              <w:t>-</w:t>
            </w:r>
            <w:r w:rsidR="00D751FD">
              <w:rPr>
                <w:rFonts w:ascii="Tahoma" w:hAnsi="Tahoma" w:cs="Tahoma"/>
                <w:b/>
                <w:bCs/>
                <w:sz w:val="18"/>
                <w:szCs w:val="18"/>
              </w:rPr>
              <w:fldChar w:fldCharType="begin">
                <w:ffData>
                  <w:name w:val="Besedilo207"/>
                  <w:enabled/>
                  <w:calcOnExit w:val="0"/>
                  <w:textInput/>
                </w:ffData>
              </w:fldChar>
            </w:r>
            <w:bookmarkStart w:id="2" w:name="Besedilo207"/>
            <w:r w:rsidR="00D751FD">
              <w:rPr>
                <w:rFonts w:ascii="Tahoma" w:hAnsi="Tahoma" w:cs="Tahoma"/>
                <w:b/>
                <w:bCs/>
                <w:sz w:val="18"/>
                <w:szCs w:val="18"/>
              </w:rPr>
              <w:instrText xml:space="preserve"> FORMTEXT </w:instrText>
            </w:r>
            <w:r w:rsidR="00D751FD">
              <w:rPr>
                <w:rFonts w:ascii="Tahoma" w:hAnsi="Tahoma" w:cs="Tahoma"/>
                <w:b/>
                <w:bCs/>
                <w:sz w:val="18"/>
                <w:szCs w:val="18"/>
              </w:rPr>
            </w:r>
            <w:r w:rsidR="00D751FD">
              <w:rPr>
                <w:rFonts w:ascii="Tahoma" w:hAnsi="Tahoma" w:cs="Tahoma"/>
                <w:b/>
                <w:bCs/>
                <w:sz w:val="18"/>
                <w:szCs w:val="18"/>
              </w:rPr>
              <w:fldChar w:fldCharType="separate"/>
            </w:r>
            <w:r w:rsidR="00D751FD">
              <w:rPr>
                <w:rFonts w:ascii="Tahoma" w:hAnsi="Tahoma" w:cs="Tahoma"/>
                <w:b/>
                <w:bCs/>
                <w:noProof/>
                <w:sz w:val="18"/>
                <w:szCs w:val="18"/>
              </w:rPr>
              <w:t> </w:t>
            </w:r>
            <w:r w:rsidR="00D751FD">
              <w:rPr>
                <w:rFonts w:ascii="Tahoma" w:hAnsi="Tahoma" w:cs="Tahoma"/>
                <w:b/>
                <w:bCs/>
                <w:noProof/>
                <w:sz w:val="18"/>
                <w:szCs w:val="18"/>
              </w:rPr>
              <w:t> </w:t>
            </w:r>
            <w:r w:rsidR="00D751FD">
              <w:rPr>
                <w:rFonts w:ascii="Tahoma" w:hAnsi="Tahoma" w:cs="Tahoma"/>
                <w:b/>
                <w:bCs/>
                <w:noProof/>
                <w:sz w:val="18"/>
                <w:szCs w:val="18"/>
              </w:rPr>
              <w:t> </w:t>
            </w:r>
            <w:r w:rsidR="00D751FD">
              <w:rPr>
                <w:rFonts w:ascii="Tahoma" w:hAnsi="Tahoma" w:cs="Tahoma"/>
                <w:b/>
                <w:bCs/>
                <w:noProof/>
                <w:sz w:val="18"/>
                <w:szCs w:val="18"/>
              </w:rPr>
              <w:t> </w:t>
            </w:r>
            <w:r w:rsidR="00D751FD">
              <w:rPr>
                <w:rFonts w:ascii="Tahoma" w:hAnsi="Tahoma" w:cs="Tahoma"/>
                <w:b/>
                <w:bCs/>
                <w:noProof/>
                <w:sz w:val="18"/>
                <w:szCs w:val="18"/>
              </w:rPr>
              <w:t> </w:t>
            </w:r>
            <w:r w:rsidR="00D751FD">
              <w:rPr>
                <w:rFonts w:ascii="Tahoma" w:hAnsi="Tahoma" w:cs="Tahoma"/>
                <w:b/>
                <w:bCs/>
                <w:sz w:val="18"/>
                <w:szCs w:val="18"/>
              </w:rPr>
              <w:fldChar w:fldCharType="end"/>
            </w:r>
            <w:bookmarkEnd w:id="2"/>
          </w:p>
        </w:tc>
      </w:tr>
    </w:tbl>
    <w:p w14:paraId="05E19DEC" w14:textId="77777777" w:rsidR="00A00472" w:rsidRPr="00417330" w:rsidRDefault="007E7421" w:rsidP="00B77181">
      <w:pPr>
        <w:keepLines/>
        <w:widowControl w:val="0"/>
        <w:spacing w:before="120" w:after="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2AE83E4C" w:rsidR="00A00472" w:rsidRPr="00417330" w:rsidRDefault="00D751FD">
            <w:pPr>
              <w:keepLines/>
              <w:widowControl w:val="0"/>
              <w:spacing w:after="0" w:line="240" w:lineRule="auto"/>
              <w:jc w:val="both"/>
              <w:rPr>
                <w:rFonts w:ascii="Tahoma" w:hAnsi="Tahoma" w:cs="Tahoma"/>
                <w:sz w:val="18"/>
                <w:szCs w:val="18"/>
              </w:rPr>
            </w:pPr>
            <w:r>
              <w:rPr>
                <w:rFonts w:ascii="Tahoma" w:hAnsi="Tahoma" w:cs="Tahoma"/>
                <w:sz w:val="18"/>
                <w:szCs w:val="18"/>
                <w:lang w:val="sl-SI"/>
              </w:rPr>
              <w:t>200-</w:t>
            </w:r>
            <w:r w:rsidR="0069735F">
              <w:rPr>
                <w:rFonts w:ascii="Tahoma" w:hAnsi="Tahoma" w:cs="Tahoma"/>
                <w:sz w:val="18"/>
                <w:szCs w:val="18"/>
                <w:lang w:val="sl-SI"/>
              </w:rPr>
              <w:t>8</w:t>
            </w:r>
            <w:r w:rsidR="00B77181">
              <w:rPr>
                <w:rFonts w:ascii="Tahoma" w:hAnsi="Tahoma" w:cs="Tahoma"/>
                <w:sz w:val="18"/>
                <w:szCs w:val="18"/>
                <w:lang w:val="sl-SI"/>
              </w:rPr>
              <w:t>/2021</w:t>
            </w:r>
            <w:r w:rsidRPr="00417330">
              <w:rPr>
                <w:rFonts w:ascii="Tahoma" w:hAnsi="Tahoma" w:cs="Tahoma"/>
                <w:sz w:val="18"/>
                <w:szCs w:val="18"/>
                <w:lang w:val="sl-SI"/>
              </w:rPr>
              <w:t xml:space="preserve">, objava na portalu e-naročanje dne </w:t>
            </w:r>
            <w:r w:rsidRPr="00417330">
              <w:rPr>
                <w:rFonts w:ascii="Tahoma" w:hAnsi="Tahoma" w:cs="Tahoma"/>
                <w:sz w:val="18"/>
                <w:szCs w:val="18"/>
              </w:rPr>
              <w:fldChar w:fldCharType="begin">
                <w:ffData>
                  <w:name w:val="Besedilo3"/>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3" w:name="Besedilo3"/>
            <w:r w:rsidRPr="00417330">
              <w:rPr>
                <w:rFonts w:ascii="Tahoma" w:hAnsi="Tahoma" w:cs="Tahoma"/>
                <w:sz w:val="18"/>
                <w:szCs w:val="18"/>
                <w:lang w:val="sl-SI"/>
              </w:rPr>
              <w:t>     </w:t>
            </w:r>
            <w:r w:rsidRPr="00417330">
              <w:rPr>
                <w:rFonts w:ascii="Tahoma" w:hAnsi="Tahoma" w:cs="Tahoma"/>
                <w:sz w:val="18"/>
                <w:szCs w:val="18"/>
              </w:rPr>
              <w:fldChar w:fldCharType="end"/>
            </w:r>
            <w:bookmarkEnd w:id="3"/>
            <w:r w:rsidRPr="00417330">
              <w:rPr>
                <w:rFonts w:ascii="Tahoma" w:hAnsi="Tahoma" w:cs="Tahoma"/>
                <w:sz w:val="18"/>
                <w:szCs w:val="18"/>
                <w:lang w:val="sl-SI"/>
              </w:rPr>
              <w:t xml:space="preserve"> pod številko </w:t>
            </w:r>
            <w:r w:rsidRPr="00417330">
              <w:rPr>
                <w:rFonts w:ascii="Tahoma" w:hAnsi="Tahoma" w:cs="Tahoma"/>
                <w:sz w:val="18"/>
                <w:szCs w:val="18"/>
              </w:rPr>
              <w:fldChar w:fldCharType="begin">
                <w:ffData>
                  <w:name w:val="Besedilo4"/>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4" w:name="Besedilo4"/>
            <w:r w:rsidRPr="00417330">
              <w:rPr>
                <w:rFonts w:ascii="Tahoma" w:hAnsi="Tahoma" w:cs="Tahoma"/>
                <w:sz w:val="18"/>
                <w:szCs w:val="18"/>
                <w:lang w:val="sl-SI"/>
              </w:rPr>
              <w:t>     </w:t>
            </w:r>
            <w:r w:rsidRPr="00417330">
              <w:rPr>
                <w:rFonts w:ascii="Tahoma" w:hAnsi="Tahoma" w:cs="Tahoma"/>
                <w:sz w:val="18"/>
                <w:szCs w:val="18"/>
              </w:rPr>
              <w:fldChar w:fldCharType="end"/>
            </w:r>
            <w:bookmarkEnd w:id="4"/>
            <w:r w:rsidRPr="00417330">
              <w:rPr>
                <w:rFonts w:ascii="Tahoma" w:hAnsi="Tahoma" w:cs="Tahoma"/>
                <w:sz w:val="18"/>
                <w:szCs w:val="18"/>
                <w:lang w:val="sl-SI"/>
              </w:rPr>
              <w:t xml:space="preserve"> ter na portalu EU dne </w:t>
            </w:r>
            <w:r w:rsidRPr="00417330">
              <w:rPr>
                <w:rFonts w:ascii="Tahoma" w:hAnsi="Tahoma" w:cs="Tahoma"/>
                <w:sz w:val="18"/>
                <w:szCs w:val="18"/>
              </w:rPr>
              <w:fldChar w:fldCharType="begin">
                <w:ffData>
                  <w:name w:val="Besedilo5"/>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5" w:name="Besedilo5"/>
            <w:r w:rsidRPr="00417330">
              <w:rPr>
                <w:rFonts w:ascii="Tahoma" w:hAnsi="Tahoma" w:cs="Tahoma"/>
                <w:sz w:val="18"/>
                <w:szCs w:val="18"/>
                <w:lang w:val="sl-SI"/>
              </w:rPr>
              <w:t>     </w:t>
            </w:r>
            <w:r w:rsidRPr="00417330">
              <w:rPr>
                <w:rFonts w:ascii="Tahoma" w:hAnsi="Tahoma" w:cs="Tahoma"/>
                <w:sz w:val="18"/>
                <w:szCs w:val="18"/>
              </w:rPr>
              <w:fldChar w:fldCharType="end"/>
            </w:r>
            <w:bookmarkEnd w:id="5"/>
            <w:r w:rsidRPr="00417330">
              <w:rPr>
                <w:rFonts w:ascii="Tahoma" w:hAnsi="Tahoma" w:cs="Tahoma"/>
                <w:sz w:val="18"/>
                <w:szCs w:val="18"/>
                <w:lang w:val="sl-SI"/>
              </w:rPr>
              <w:t xml:space="preserve"> pod številko </w:t>
            </w:r>
            <w:r w:rsidRPr="00417330">
              <w:rPr>
                <w:rFonts w:ascii="Tahoma" w:hAnsi="Tahoma" w:cs="Tahoma"/>
                <w:sz w:val="18"/>
                <w:szCs w:val="18"/>
              </w:rPr>
              <w:fldChar w:fldCharType="begin">
                <w:ffData>
                  <w:name w:val="Besedilo6"/>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6" w:name="Besedilo6"/>
            <w:r w:rsidRPr="00417330">
              <w:rPr>
                <w:rFonts w:ascii="Tahoma" w:hAnsi="Tahoma" w:cs="Tahoma"/>
                <w:sz w:val="18"/>
                <w:szCs w:val="18"/>
                <w:lang w:val="sl-SI"/>
              </w:rPr>
              <w:t>     </w:t>
            </w:r>
            <w:r w:rsidRPr="00417330">
              <w:rPr>
                <w:rFonts w:ascii="Tahoma" w:hAnsi="Tahoma" w:cs="Tahoma"/>
                <w:sz w:val="18"/>
                <w:szCs w:val="18"/>
              </w:rPr>
              <w:fldChar w:fldCharType="end"/>
            </w:r>
            <w:bookmarkEnd w:id="6"/>
            <w:r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74A98EBD" w:rsidR="00A00472" w:rsidRPr="00417330" w:rsidRDefault="007E7421" w:rsidP="00C86A9F">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A62D82">
        <w:rPr>
          <w:rFonts w:ascii="Tahoma" w:hAnsi="Tahoma" w:cs="Tahoma"/>
          <w:sz w:val="18"/>
          <w:szCs w:val="18"/>
          <w:lang w:val="sl-SI"/>
        </w:rPr>
        <w:t>Mikrobiološk</w:t>
      </w:r>
      <w:r w:rsidR="00B77181">
        <w:rPr>
          <w:rFonts w:ascii="Tahoma" w:hAnsi="Tahoma" w:cs="Tahoma"/>
          <w:sz w:val="18"/>
          <w:szCs w:val="18"/>
          <w:lang w:val="sl-SI"/>
        </w:rPr>
        <w:t>ega</w:t>
      </w:r>
      <w:r w:rsidR="00B20542">
        <w:rPr>
          <w:rFonts w:ascii="Tahoma" w:hAnsi="Tahoma" w:cs="Tahoma"/>
          <w:sz w:val="18"/>
          <w:szCs w:val="18"/>
          <w:lang w:val="sl-SI"/>
        </w:rPr>
        <w:t xml:space="preserve"> material</w:t>
      </w:r>
      <w:r w:rsidR="00B77181">
        <w:rPr>
          <w:rFonts w:ascii="Tahoma" w:hAnsi="Tahoma" w:cs="Tahoma"/>
          <w:sz w:val="18"/>
          <w:szCs w:val="18"/>
          <w:lang w:val="sl-SI"/>
        </w:rPr>
        <w:t>a</w:t>
      </w:r>
      <w:r w:rsidR="00C86A9F" w:rsidRPr="00C86A9F">
        <w:rPr>
          <w:rFonts w:ascii="Tahoma" w:hAnsi="Tahoma" w:cs="Tahoma"/>
          <w:sz w:val="18"/>
          <w:szCs w:val="18"/>
          <w:lang w:val="sl-SI"/>
        </w:rPr>
        <w:t xml:space="preserve">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110A3C">
        <w:rPr>
          <w:rFonts w:ascii="Tahoma" w:hAnsi="Tahoma" w:cs="Tahoma"/>
          <w:sz w:val="18"/>
          <w:szCs w:val="18"/>
          <w:lang w:val="sl-SI"/>
        </w:rPr>
        <w:fldChar w:fldCharType="begin">
          <w:ffData>
            <w:name w:val="Besedilo197"/>
            <w:enabled/>
            <w:calcOnExit w:val="0"/>
            <w:textInput/>
          </w:ffData>
        </w:fldChar>
      </w:r>
      <w:bookmarkStart w:id="7" w:name="Besedilo197"/>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7"/>
      <w:r w:rsidR="00110A3C">
        <w:rPr>
          <w:rFonts w:ascii="Tahoma" w:hAnsi="Tahoma" w:cs="Tahoma"/>
          <w:sz w:val="18"/>
          <w:szCs w:val="18"/>
          <w:lang w:val="sl-SI"/>
        </w:rPr>
        <w:t xml:space="preserve"> </w:t>
      </w:r>
      <w:r w:rsidRPr="00417330">
        <w:rPr>
          <w:rFonts w:ascii="Tahoma" w:hAnsi="Tahoma" w:cs="Tahoma"/>
          <w:sz w:val="18"/>
          <w:szCs w:val="18"/>
          <w:lang w:val="sl-SI"/>
        </w:rPr>
        <w:t xml:space="preserve">do </w:t>
      </w:r>
      <w:r w:rsidR="00B77181">
        <w:rPr>
          <w:rFonts w:ascii="Tahoma" w:hAnsi="Tahoma" w:cs="Tahoma"/>
          <w:sz w:val="18"/>
          <w:szCs w:val="18"/>
        </w:rPr>
        <w:t>04.09.2023.</w:t>
      </w:r>
    </w:p>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09B5C7DC" w14:textId="6437D7F0"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Pogodbeni stranki se dogovorita za ceno po ceniku, kot izhaja iz prodajalčevega ponudbenega predračuna. Cena vključuje končno nabavno vrednost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z vsemi stroški in morebitnimi popusti ter DDV. </w:t>
      </w:r>
    </w:p>
    <w:p w14:paraId="1DC0F74D" w14:textId="448E9D01"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417330">
        <w:rPr>
          <w:rFonts w:ascii="Tahoma" w:hAnsi="Tahoma" w:cs="Tahoma"/>
          <w:sz w:val="18"/>
          <w:szCs w:val="18"/>
          <w:lang w:val="sl-SI"/>
        </w:rPr>
        <w:t>naročniku</w:t>
      </w:r>
      <w:r w:rsidRPr="00417330">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417330">
        <w:rPr>
          <w:rFonts w:ascii="Tahoma" w:hAnsi="Tahoma" w:cs="Tahoma"/>
          <w:sz w:val="18"/>
          <w:szCs w:val="18"/>
          <w:lang w:val="sl-SI"/>
        </w:rPr>
        <w:t>blago</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sporazuma/pogodbe in da jih bo naročnik časovno in količinsko na</w:t>
      </w:r>
      <w:r w:rsidR="00E7543D" w:rsidRPr="00417330">
        <w:rPr>
          <w:rFonts w:ascii="Tahoma" w:hAnsi="Tahoma" w:cs="Tahoma"/>
          <w:sz w:val="18"/>
          <w:szCs w:val="18"/>
          <w:lang w:val="sl-SI"/>
        </w:rPr>
        <w:t>ročal glede na dejanske potrebe.</w:t>
      </w:r>
    </w:p>
    <w:p w14:paraId="62E17E3E" w14:textId="3B00DEAC" w:rsidR="0069735F" w:rsidRPr="0069735F" w:rsidRDefault="0069735F" w:rsidP="0069735F">
      <w:pPr>
        <w:pStyle w:val="Odstavekseznama"/>
        <w:numPr>
          <w:ilvl w:val="2"/>
          <w:numId w:val="7"/>
        </w:numPr>
        <w:spacing w:after="0"/>
        <w:rPr>
          <w:rFonts w:ascii="Tahoma" w:hAnsi="Tahoma" w:cs="Tahoma"/>
          <w:sz w:val="18"/>
          <w:szCs w:val="18"/>
          <w:lang w:val="sl-SI"/>
        </w:rPr>
      </w:pPr>
      <w:r w:rsidRPr="0069735F">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6BD4FA35" w14:textId="3ABC3F9F" w:rsidR="00A00472" w:rsidRPr="00B77181" w:rsidRDefault="007E7421" w:rsidP="0069735F">
      <w:pPr>
        <w:keepLines/>
        <w:widowControl w:val="0"/>
        <w:numPr>
          <w:ilvl w:val="2"/>
          <w:numId w:val="7"/>
        </w:numPr>
        <w:spacing w:after="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w:t>
      </w:r>
      <w:r w:rsidR="00B77181">
        <w:rPr>
          <w:rFonts w:ascii="Tahoma" w:hAnsi="Tahoma" w:cs="Tahoma"/>
          <w:sz w:val="18"/>
          <w:szCs w:val="18"/>
          <w:lang w:val="sl-SI"/>
        </w:rPr>
        <w:t>a</w:t>
      </w:r>
      <w:r w:rsidRPr="00B77181">
        <w:rPr>
          <w:rFonts w:ascii="Tahoma" w:hAnsi="Tahoma" w:cs="Tahoma"/>
          <w:sz w:val="18"/>
          <w:szCs w:val="18"/>
          <w:lang w:val="sl-SI"/>
        </w:rPr>
        <w:t xml:space="preserve">: </w:t>
      </w:r>
      <w:bookmarkStart w:id="8" w:name="_Hlk49249588"/>
      <w:r w:rsidRPr="00B77181">
        <w:rPr>
          <w:rFonts w:ascii="Tahoma" w:hAnsi="Tahoma" w:cs="Tahoma"/>
          <w:b/>
          <w:bCs/>
          <w:sz w:val="18"/>
          <w:szCs w:val="18"/>
        </w:rPr>
        <w:fldChar w:fldCharType="begin">
          <w:ffData>
            <w:name w:val="Besedilo172"/>
            <w:enabled/>
            <w:calcOnExit w:val="0"/>
            <w:textInput/>
          </w:ffData>
        </w:fldChar>
      </w:r>
      <w:r w:rsidRPr="00B77181">
        <w:rPr>
          <w:rFonts w:ascii="Tahoma" w:hAnsi="Tahoma" w:cs="Tahoma"/>
          <w:b/>
          <w:bCs/>
          <w:sz w:val="18"/>
          <w:szCs w:val="18"/>
        </w:rPr>
        <w:instrText>FORMTEXT</w:instrText>
      </w:r>
      <w:r w:rsidRPr="00B77181">
        <w:rPr>
          <w:rFonts w:ascii="Tahoma" w:hAnsi="Tahoma" w:cs="Tahoma"/>
          <w:b/>
          <w:bCs/>
          <w:sz w:val="18"/>
          <w:szCs w:val="18"/>
        </w:rPr>
      </w:r>
      <w:r w:rsidRPr="00B77181">
        <w:rPr>
          <w:rFonts w:ascii="Tahoma" w:hAnsi="Tahoma" w:cs="Tahoma"/>
          <w:b/>
          <w:bCs/>
          <w:sz w:val="18"/>
          <w:szCs w:val="18"/>
        </w:rPr>
        <w:fldChar w:fldCharType="separate"/>
      </w:r>
      <w:bookmarkStart w:id="9" w:name="Besedilo172"/>
      <w:r w:rsidRPr="00B77181">
        <w:rPr>
          <w:rFonts w:ascii="Tahoma" w:hAnsi="Tahoma" w:cs="Tahoma"/>
          <w:b/>
          <w:bCs/>
          <w:sz w:val="18"/>
          <w:szCs w:val="18"/>
          <w:lang w:val="sl-SI"/>
        </w:rPr>
        <w:t>     </w:t>
      </w:r>
      <w:r w:rsidRPr="00B77181">
        <w:rPr>
          <w:rFonts w:ascii="Tahoma" w:hAnsi="Tahoma" w:cs="Tahoma"/>
          <w:b/>
          <w:bCs/>
          <w:sz w:val="18"/>
          <w:szCs w:val="18"/>
        </w:rPr>
        <w:fldChar w:fldCharType="end"/>
      </w:r>
      <w:bookmarkEnd w:id="9"/>
      <w:r w:rsidR="001E6B84" w:rsidRPr="00B77181">
        <w:rPr>
          <w:rFonts w:ascii="Tahoma" w:hAnsi="Tahoma" w:cs="Tahoma"/>
          <w:b/>
          <w:bCs/>
          <w:sz w:val="18"/>
          <w:szCs w:val="18"/>
          <w:lang w:val="sl-SI"/>
        </w:rPr>
        <w:t xml:space="preserve"> EUR brez DDV</w:t>
      </w:r>
      <w:r w:rsidR="001E6B84" w:rsidRPr="00B77181">
        <w:rPr>
          <w:rFonts w:ascii="Tahoma" w:hAnsi="Tahoma" w:cs="Tahoma"/>
          <w:sz w:val="18"/>
          <w:szCs w:val="18"/>
          <w:lang w:val="sl-SI"/>
        </w:rPr>
        <w:t xml:space="preserve"> oziroma </w:t>
      </w:r>
      <w:r w:rsidRPr="00B77181">
        <w:rPr>
          <w:rFonts w:ascii="Tahoma" w:hAnsi="Tahoma" w:cs="Tahoma"/>
          <w:sz w:val="18"/>
          <w:szCs w:val="18"/>
          <w:lang w:val="sl-SI"/>
        </w:rPr>
        <w:t xml:space="preserve"> </w:t>
      </w:r>
      <w:r w:rsidRPr="00B77181">
        <w:rPr>
          <w:rFonts w:ascii="Tahoma" w:hAnsi="Tahoma" w:cs="Tahoma"/>
          <w:b/>
          <w:bCs/>
          <w:sz w:val="18"/>
          <w:szCs w:val="18"/>
        </w:rPr>
        <w:fldChar w:fldCharType="begin">
          <w:ffData>
            <w:name w:val="Besedilo182"/>
            <w:enabled/>
            <w:calcOnExit w:val="0"/>
            <w:textInput/>
          </w:ffData>
        </w:fldChar>
      </w:r>
      <w:r w:rsidRPr="00B77181">
        <w:rPr>
          <w:rFonts w:ascii="Tahoma" w:hAnsi="Tahoma" w:cs="Tahoma"/>
          <w:b/>
          <w:bCs/>
          <w:sz w:val="18"/>
          <w:szCs w:val="18"/>
        </w:rPr>
        <w:instrText>FORMTEXT</w:instrText>
      </w:r>
      <w:r w:rsidRPr="00B77181">
        <w:rPr>
          <w:rFonts w:ascii="Tahoma" w:hAnsi="Tahoma" w:cs="Tahoma"/>
          <w:b/>
          <w:bCs/>
          <w:sz w:val="18"/>
          <w:szCs w:val="18"/>
        </w:rPr>
      </w:r>
      <w:r w:rsidRPr="00B77181">
        <w:rPr>
          <w:rFonts w:ascii="Tahoma" w:hAnsi="Tahoma" w:cs="Tahoma"/>
          <w:b/>
          <w:bCs/>
          <w:sz w:val="18"/>
          <w:szCs w:val="18"/>
        </w:rPr>
        <w:fldChar w:fldCharType="separate"/>
      </w:r>
      <w:bookmarkStart w:id="10" w:name="Besedilo182"/>
      <w:r w:rsidRPr="00B77181">
        <w:rPr>
          <w:rFonts w:ascii="Tahoma" w:hAnsi="Tahoma" w:cs="Tahoma"/>
          <w:b/>
          <w:bCs/>
          <w:sz w:val="18"/>
          <w:szCs w:val="18"/>
          <w:lang w:val="sl-SI"/>
        </w:rPr>
        <w:t>     </w:t>
      </w:r>
      <w:r w:rsidRPr="00B77181">
        <w:rPr>
          <w:rFonts w:ascii="Tahoma" w:hAnsi="Tahoma" w:cs="Tahoma"/>
          <w:b/>
          <w:bCs/>
          <w:sz w:val="18"/>
          <w:szCs w:val="18"/>
        </w:rPr>
        <w:fldChar w:fldCharType="end"/>
      </w:r>
      <w:bookmarkEnd w:id="10"/>
      <w:r w:rsidRPr="00B77181">
        <w:rPr>
          <w:rFonts w:ascii="Tahoma" w:hAnsi="Tahoma" w:cs="Tahoma"/>
          <w:b/>
          <w:bCs/>
          <w:sz w:val="18"/>
          <w:szCs w:val="18"/>
          <w:lang w:val="sl-SI"/>
        </w:rPr>
        <w:t xml:space="preserve"> EUR z DDV</w:t>
      </w:r>
      <w:bookmarkEnd w:id="8"/>
      <w:r w:rsidRPr="00B77181">
        <w:rPr>
          <w:rFonts w:ascii="Tahoma" w:hAnsi="Tahoma" w:cs="Tahoma"/>
          <w:sz w:val="18"/>
          <w:szCs w:val="18"/>
          <w:lang w:val="sl-SI"/>
        </w:rPr>
        <w:t>.</w:t>
      </w:r>
    </w:p>
    <w:p w14:paraId="37789EAC" w14:textId="2B6B4C8B" w:rsidR="00D751FD" w:rsidRDefault="00D751FD" w:rsidP="0069735F">
      <w:pPr>
        <w:pStyle w:val="Odstavekseznama"/>
        <w:keepLines/>
        <w:widowControl w:val="0"/>
        <w:numPr>
          <w:ilvl w:val="2"/>
          <w:numId w:val="7"/>
        </w:numPr>
        <w:spacing w:after="0" w:line="240" w:lineRule="auto"/>
        <w:jc w:val="both"/>
        <w:rPr>
          <w:rFonts w:ascii="Tahoma" w:hAnsi="Tahoma" w:cs="Tahoma"/>
          <w:sz w:val="18"/>
          <w:szCs w:val="18"/>
        </w:rPr>
      </w:pPr>
      <w:r w:rsidRPr="00D751FD">
        <w:rPr>
          <w:rFonts w:ascii="Tahoma" w:hAnsi="Tahoma" w:cs="Tahoma"/>
          <w:sz w:val="18"/>
          <w:szCs w:val="18"/>
        </w:rPr>
        <w:t xml:space="preserve">Naročnik si pridružuje pravico do naročanja istovrstnega blaga, ki ni opredeljen v obrazcih »Specifikacija razpisanih artiklov </w:t>
      </w:r>
      <w:r w:rsidR="00B77181">
        <w:rPr>
          <w:rFonts w:ascii="Tahoma" w:hAnsi="Tahoma" w:cs="Tahoma"/>
          <w:sz w:val="18"/>
          <w:szCs w:val="18"/>
        </w:rPr>
        <w:fldChar w:fldCharType="begin">
          <w:ffData>
            <w:name w:val="Besedilo213"/>
            <w:enabled/>
            <w:calcOnExit w:val="0"/>
            <w:textInput/>
          </w:ffData>
        </w:fldChar>
      </w:r>
      <w:bookmarkStart w:id="11" w:name="Besedilo213"/>
      <w:r w:rsidR="00B77181">
        <w:rPr>
          <w:rFonts w:ascii="Tahoma" w:hAnsi="Tahoma" w:cs="Tahoma"/>
          <w:sz w:val="18"/>
          <w:szCs w:val="18"/>
        </w:rPr>
        <w:instrText xml:space="preserve"> FORMTEXT </w:instrText>
      </w:r>
      <w:r w:rsidR="00B77181">
        <w:rPr>
          <w:rFonts w:ascii="Tahoma" w:hAnsi="Tahoma" w:cs="Tahoma"/>
          <w:sz w:val="18"/>
          <w:szCs w:val="18"/>
        </w:rPr>
      </w:r>
      <w:r w:rsidR="00B77181">
        <w:rPr>
          <w:rFonts w:ascii="Tahoma" w:hAnsi="Tahoma" w:cs="Tahoma"/>
          <w:sz w:val="18"/>
          <w:szCs w:val="18"/>
        </w:rPr>
        <w:fldChar w:fldCharType="separate"/>
      </w:r>
      <w:r w:rsidR="00B77181">
        <w:rPr>
          <w:rFonts w:ascii="Tahoma" w:hAnsi="Tahoma" w:cs="Tahoma"/>
          <w:noProof/>
          <w:sz w:val="18"/>
          <w:szCs w:val="18"/>
        </w:rPr>
        <w:t> </w:t>
      </w:r>
      <w:r w:rsidR="00B77181">
        <w:rPr>
          <w:rFonts w:ascii="Tahoma" w:hAnsi="Tahoma" w:cs="Tahoma"/>
          <w:noProof/>
          <w:sz w:val="18"/>
          <w:szCs w:val="18"/>
        </w:rPr>
        <w:t> </w:t>
      </w:r>
      <w:r w:rsidR="00B77181">
        <w:rPr>
          <w:rFonts w:ascii="Tahoma" w:hAnsi="Tahoma" w:cs="Tahoma"/>
          <w:noProof/>
          <w:sz w:val="18"/>
          <w:szCs w:val="18"/>
        </w:rPr>
        <w:t> </w:t>
      </w:r>
      <w:r w:rsidR="00B77181">
        <w:rPr>
          <w:rFonts w:ascii="Tahoma" w:hAnsi="Tahoma" w:cs="Tahoma"/>
          <w:noProof/>
          <w:sz w:val="18"/>
          <w:szCs w:val="18"/>
        </w:rPr>
        <w:t> </w:t>
      </w:r>
      <w:r w:rsidR="00B77181">
        <w:rPr>
          <w:rFonts w:ascii="Tahoma" w:hAnsi="Tahoma" w:cs="Tahoma"/>
          <w:noProof/>
          <w:sz w:val="18"/>
          <w:szCs w:val="18"/>
        </w:rPr>
        <w:t> </w:t>
      </w:r>
      <w:r w:rsidR="00B77181">
        <w:rPr>
          <w:rFonts w:ascii="Tahoma" w:hAnsi="Tahoma" w:cs="Tahoma"/>
          <w:sz w:val="18"/>
          <w:szCs w:val="18"/>
        </w:rPr>
        <w:fldChar w:fldCharType="end"/>
      </w:r>
      <w:bookmarkEnd w:id="11"/>
      <w:r w:rsidRPr="00D751FD">
        <w:rPr>
          <w:rFonts w:ascii="Tahoma" w:hAnsi="Tahoma" w:cs="Tahoma"/>
          <w:sz w:val="18"/>
          <w:szCs w:val="18"/>
        </w:rPr>
        <w:t>. Naročnik takšno blago plačuje v skladu z veljavnim cenikom izvajalca</w:t>
      </w:r>
      <w:r>
        <w:rPr>
          <w:rFonts w:ascii="Tahoma" w:hAnsi="Tahoma" w:cs="Tahoma"/>
          <w:sz w:val="18"/>
          <w:szCs w:val="18"/>
        </w:rPr>
        <w:t>.</w:t>
      </w:r>
    </w:p>
    <w:p w14:paraId="4E644517" w14:textId="77777777" w:rsidR="0069735F" w:rsidRPr="00D751FD" w:rsidRDefault="0069735F" w:rsidP="0069735F">
      <w:pPr>
        <w:pStyle w:val="Odstavekseznama"/>
        <w:keepLines/>
        <w:widowControl w:val="0"/>
        <w:spacing w:after="0" w:line="240" w:lineRule="auto"/>
        <w:jc w:val="both"/>
        <w:rPr>
          <w:rFonts w:ascii="Tahoma" w:hAnsi="Tahoma" w:cs="Tahoma"/>
          <w:sz w:val="18"/>
          <w:szCs w:val="18"/>
        </w:rPr>
      </w:pP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rsidTr="00B77181">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5197E91" w14:textId="14615AA7" w:rsidR="00A00472" w:rsidRPr="00B77181" w:rsidRDefault="00D4308D" w:rsidP="00B7718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7926B3">
              <w:rPr>
                <w:rFonts w:ascii="Tahoma" w:hAnsi="Tahoma" w:cs="Tahoma"/>
                <w:sz w:val="18"/>
                <w:szCs w:val="18"/>
                <w:lang w:val="sl-SI"/>
              </w:rPr>
              <w:t>lekarna</w:t>
            </w:r>
            <w:r w:rsidR="00332952" w:rsidRPr="00417330">
              <w:rPr>
                <w:rFonts w:ascii="Tahoma" w:hAnsi="Tahoma" w:cs="Tahoma"/>
                <w:sz w:val="18"/>
                <w:szCs w:val="18"/>
                <w:lang w:val="sl-SI"/>
              </w:rPr>
              <w:t xml:space="preserve"> (razloženo)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1E8E72DA"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444439">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5F928E13"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rsidTr="00B77181">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DFD8CE9" w14:textId="2A4CCE49" w:rsidR="009C2EAA" w:rsidRPr="00417330" w:rsidRDefault="00D751FD" w:rsidP="00B77181">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212"/>
                  <w:enabled/>
                  <w:calcOnExit w:val="0"/>
                  <w:textInput/>
                </w:ffData>
              </w:fldChar>
            </w:r>
            <w:bookmarkStart w:id="12" w:name="Besedilo212"/>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12"/>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rsidP="00B77181">
      <w:pPr>
        <w:keepLines/>
        <w:widowControl w:val="0"/>
        <w:spacing w:before="240" w:after="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6A5D740C" w14:textId="7C876A9F" w:rsidR="0069735F" w:rsidRPr="0069735F" w:rsidRDefault="0069735F" w:rsidP="0069735F">
      <w:pPr>
        <w:pStyle w:val="Odstavekseznama"/>
        <w:numPr>
          <w:ilvl w:val="2"/>
          <w:numId w:val="6"/>
        </w:numPr>
        <w:rPr>
          <w:rFonts w:ascii="Tahoma" w:hAnsi="Tahoma" w:cs="Tahoma"/>
          <w:sz w:val="18"/>
          <w:szCs w:val="18"/>
          <w:lang w:val="sl-SI"/>
        </w:rPr>
      </w:pPr>
      <w:r w:rsidRPr="0069735F">
        <w:rPr>
          <w:rFonts w:ascii="Tahoma" w:hAnsi="Tahoma" w:cs="Tahoma"/>
          <w:sz w:val="18"/>
          <w:szCs w:val="18"/>
          <w:lang w:val="sl-SI"/>
        </w:rPr>
        <w:t>V primeru nepredvidenega izpada proizvodnje oz. prodaje posameznih artiklov, je prodajalec dolžan naročniku zagotoviti nemoteno oskrbo ali dobaviti drug po kvaliteti enakovreden artikel po enaki ceni.</w:t>
      </w:r>
    </w:p>
    <w:p w14:paraId="4AFF4A4F" w14:textId="77BB5FF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rsidP="001D0BED">
      <w:pPr>
        <w:keepLines/>
        <w:widowControl w:val="0"/>
        <w:numPr>
          <w:ilvl w:val="2"/>
          <w:numId w:val="1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62D1E22D" w:rsidR="00A00472" w:rsidRPr="00417330" w:rsidRDefault="007E7421" w:rsidP="001D0BED">
      <w:pPr>
        <w:keepLines/>
        <w:widowControl w:val="0"/>
        <w:spacing w:after="0" w:line="240" w:lineRule="auto"/>
        <w:ind w:left="720"/>
        <w:jc w:val="both"/>
        <w:rPr>
          <w:rFonts w:ascii="Tahoma" w:hAnsi="Tahoma" w:cs="Tahoma"/>
          <w:sz w:val="18"/>
          <w:szCs w:val="18"/>
        </w:rPr>
      </w:pPr>
      <w:r w:rsidRPr="00417330">
        <w:rPr>
          <w:rFonts w:ascii="Tahoma" w:hAnsi="Tahoma" w:cs="Tahoma"/>
          <w:sz w:val="18"/>
          <w:szCs w:val="18"/>
          <w:lang w:val="sl-SI"/>
        </w:rPr>
        <w:t xml:space="preserve">Pooblaščena oseba naročnika:  </w:t>
      </w:r>
      <w:r w:rsidR="001F17F1" w:rsidRPr="007926B3">
        <w:rPr>
          <w:rFonts w:ascii="Tahoma" w:hAnsi="Tahoma" w:cs="Tahoma"/>
          <w:sz w:val="18"/>
          <w:szCs w:val="18"/>
        </w:rPr>
        <w:t>vodja lekarne</w:t>
      </w:r>
      <w:r w:rsidR="001F17F1" w:rsidRPr="00417330">
        <w:rPr>
          <w:rFonts w:ascii="Tahoma" w:hAnsi="Tahoma" w:cs="Tahoma"/>
          <w:sz w:val="18"/>
          <w:szCs w:val="18"/>
        </w:rPr>
        <w:t>.</w:t>
      </w:r>
      <w:r w:rsidRPr="00417330">
        <w:rPr>
          <w:rFonts w:ascii="Tahoma" w:hAnsi="Tahoma" w:cs="Tahoma"/>
          <w:sz w:val="18"/>
          <w:szCs w:val="18"/>
          <w:lang w:val="sl-SI"/>
        </w:rPr>
        <w:t xml:space="preserve">    </w:t>
      </w:r>
    </w:p>
    <w:p w14:paraId="4C3F152E"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1EA5AFB5" w14:textId="0BE31B5D" w:rsidR="00A00472" w:rsidRPr="00B77181" w:rsidRDefault="00632E64" w:rsidP="00B7718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0B0C475B" w:rsidR="008D619C" w:rsidRPr="00D751FD" w:rsidRDefault="00632E64" w:rsidP="00D751FD">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7BC5A798" w:rsidR="00632E64" w:rsidRPr="00417330" w:rsidRDefault="00963F55" w:rsidP="00632E64">
      <w:pPr>
        <w:keepLines/>
        <w:widowControl w:val="0"/>
        <w:numPr>
          <w:ilvl w:val="2"/>
          <w:numId w:val="9"/>
        </w:numPr>
        <w:spacing w:before="120" w:after="120" w:line="240" w:lineRule="auto"/>
        <w:jc w:val="both"/>
        <w:rPr>
          <w:rFonts w:ascii="Tahoma" w:hAnsi="Tahoma" w:cs="Tahoma"/>
          <w:sz w:val="18"/>
          <w:szCs w:val="18"/>
          <w:lang w:val="sl-SI"/>
        </w:rPr>
      </w:pPr>
      <w:r>
        <w:rPr>
          <w:rFonts w:ascii="Tahoma" w:hAnsi="Tahoma" w:cs="Tahoma"/>
          <w:sz w:val="18"/>
          <w:szCs w:val="18"/>
          <w:lang w:val="sl-SI"/>
        </w:rPr>
        <w:t xml:space="preserve">Za pogodbeno kazen ali kritje za nadomestno blago se izstavi račun. </w:t>
      </w:r>
      <w:r w:rsidR="00632E64" w:rsidRPr="00417330">
        <w:rPr>
          <w:rFonts w:ascii="Tahoma" w:hAnsi="Tahoma" w:cs="Tahoma"/>
          <w:sz w:val="18"/>
          <w:szCs w:val="18"/>
          <w:lang w:val="sl-SI"/>
        </w:rPr>
        <w:t xml:space="preserve">Pogodbena kazen ali kritje za nadomestno blago se </w:t>
      </w:r>
      <w:r>
        <w:rPr>
          <w:rFonts w:ascii="Tahoma" w:hAnsi="Tahoma" w:cs="Tahoma"/>
          <w:sz w:val="18"/>
          <w:szCs w:val="18"/>
          <w:lang w:val="sl-SI"/>
        </w:rPr>
        <w:t xml:space="preserve">lahko poračuna </w:t>
      </w:r>
      <w:r w:rsidR="00632E64" w:rsidRPr="00417330">
        <w:rPr>
          <w:rFonts w:ascii="Tahoma" w:hAnsi="Tahoma" w:cs="Tahoma"/>
          <w:sz w:val="18"/>
          <w:szCs w:val="18"/>
          <w:lang w:val="sl-SI"/>
        </w:rPr>
        <w:t>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rsidP="00B77181">
      <w:pPr>
        <w:spacing w:after="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5E1F1B33"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 xml:space="preserve">JAMSTVA IN GARANCIJSKE OBVEZNOSTI </w:t>
      </w:r>
      <w:r w:rsidR="00B20634">
        <w:rPr>
          <w:rFonts w:ascii="Tahoma" w:hAnsi="Tahoma" w:cs="Tahoma"/>
          <w:sz w:val="18"/>
          <w:szCs w:val="18"/>
          <w:lang w:val="sl-SI"/>
        </w:rPr>
        <w:t>PRODAJALCA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25EAA2E6"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7B7EE1E7"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3A77935C"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71779941" w:rsidR="008D619C" w:rsidRPr="00B77181" w:rsidRDefault="00632E64" w:rsidP="00D751FD">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EB620D">
      <w:pPr>
        <w:numPr>
          <w:ilvl w:val="2"/>
          <w:numId w:val="16"/>
        </w:numPr>
        <w:spacing w:before="120"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 xml:space="preserve">.000 EUR z DDV mora prodajalec naročniku najkasneje v petih dneh od prejema izvoda podpisanega okvirnega sporazuma s strani naročnika, kot pogoj za </w:t>
      </w:r>
      <w:r w:rsidRPr="00417330">
        <w:rPr>
          <w:rFonts w:ascii="Tahoma" w:hAnsi="Tahoma" w:cs="Tahoma"/>
          <w:sz w:val="18"/>
          <w:szCs w:val="18"/>
          <w:lang w:val="sl-SI"/>
        </w:rPr>
        <w:lastRenderedPageBreak/>
        <w:t>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EB620D">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EB620D">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EB620D">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52D61259" w:rsidR="00632E64" w:rsidRDefault="00632E64" w:rsidP="00EB620D">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p>
    <w:p w14:paraId="798AB154" w14:textId="77777777" w:rsidR="00EB620D" w:rsidRPr="00417330" w:rsidRDefault="00EB620D" w:rsidP="00EB620D">
      <w:pPr>
        <w:spacing w:after="0" w:line="240" w:lineRule="auto"/>
        <w:ind w:left="1077"/>
        <w:jc w:val="both"/>
        <w:rPr>
          <w:rFonts w:ascii="Tahoma" w:hAnsi="Tahoma" w:cs="Tahoma"/>
          <w:sz w:val="18"/>
          <w:szCs w:val="18"/>
          <w:lang w:val="sl-SI"/>
        </w:rPr>
      </w:pPr>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0746C554" w14:textId="77777777" w:rsidR="00632E64" w:rsidRPr="00417330" w:rsidRDefault="00632E64" w:rsidP="00632E64">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77777777" w:rsidR="00A00472" w:rsidRPr="00417330" w:rsidRDefault="00A00472">
      <w:pPr>
        <w:spacing w:after="120" w:line="240" w:lineRule="auto"/>
        <w:ind w:left="720"/>
        <w:jc w:val="both"/>
        <w:rPr>
          <w:rFonts w:ascii="Tahoma" w:hAnsi="Tahoma" w:cs="Tahoma"/>
          <w:sz w:val="18"/>
          <w:szCs w:val="18"/>
          <w:lang w:val="sl-SI"/>
        </w:rPr>
      </w:pPr>
    </w:p>
    <w:p w14:paraId="2D86FAF0"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39DB4C8E" w14:textId="77777777" w:rsidR="00A63F34" w:rsidRPr="00A63F34" w:rsidRDefault="00A63F34" w:rsidP="00A63F34">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center"/>
        <w:rPr>
          <w:rFonts w:ascii="Tahoma" w:eastAsia="Times New Roman" w:hAnsi="Tahoma" w:cs="Tahoma"/>
          <w:color w:val="000000"/>
          <w:sz w:val="20"/>
          <w:szCs w:val="20"/>
          <w:lang w:val="sl-SI"/>
        </w:rPr>
      </w:pPr>
      <w:r w:rsidRPr="00A63F34">
        <w:rPr>
          <w:rFonts w:ascii="Tahoma" w:eastAsia="Times New Roman" w:hAnsi="Tahoma" w:cs="Tahoma"/>
          <w:color w:val="000000"/>
          <w:sz w:val="20"/>
          <w:szCs w:val="20"/>
          <w:lang w:val="sl-SI"/>
        </w:rPr>
        <w:t>POSLOVNA SKRIVNOST, TAJNI IN OSEBNI PODATKI</w:t>
      </w:r>
    </w:p>
    <w:p w14:paraId="6A6E0A14" w14:textId="77777777" w:rsidR="00A63F34" w:rsidRDefault="00A63F34" w:rsidP="00A63F34">
      <w:pPr>
        <w:spacing w:after="0" w:line="240" w:lineRule="auto"/>
        <w:jc w:val="both"/>
        <w:rPr>
          <w:rFonts w:ascii="Tahoma" w:eastAsia="Times New Roman" w:hAnsi="Tahoma" w:cs="Tahoma"/>
          <w:sz w:val="18"/>
          <w:szCs w:val="18"/>
          <w:lang w:val="sl-SI" w:eastAsia="sl-SI"/>
        </w:rPr>
      </w:pPr>
    </w:p>
    <w:p w14:paraId="1012AC01" w14:textId="37AD7996" w:rsidR="00A63F34" w:rsidRPr="00EB620D" w:rsidRDefault="00A63F34" w:rsidP="00EB620D">
      <w:pPr>
        <w:pStyle w:val="Odstavekseznama"/>
        <w:numPr>
          <w:ilvl w:val="0"/>
          <w:numId w:val="23"/>
        </w:numPr>
        <w:spacing w:after="0" w:line="240" w:lineRule="auto"/>
        <w:ind w:hanging="76"/>
        <w:jc w:val="both"/>
        <w:rPr>
          <w:rFonts w:ascii="Tahoma" w:eastAsia="Times New Roman" w:hAnsi="Tahoma" w:cs="Tahoma"/>
          <w:sz w:val="18"/>
          <w:szCs w:val="18"/>
          <w:lang w:val="sl-SI" w:eastAsia="sl-SI"/>
        </w:rPr>
      </w:pPr>
      <w:r w:rsidRPr="00EB620D">
        <w:rPr>
          <w:rFonts w:ascii="Tahoma" w:eastAsia="Times New Roman" w:hAnsi="Tahoma" w:cs="Tahoma"/>
          <w:sz w:val="18"/>
          <w:szCs w:val="18"/>
          <w:lang w:val="sl-SI" w:eastAsia="sl-SI"/>
        </w:rPr>
        <w:t>Pogodbeni stranki ugotavljata:</w:t>
      </w:r>
    </w:p>
    <w:p w14:paraId="375D66D9" w14:textId="6A710F0C" w:rsidR="00A63F34" w:rsidRPr="00EB620D" w:rsidRDefault="00A63F34" w:rsidP="00EB620D">
      <w:pPr>
        <w:pStyle w:val="Odstavekseznama"/>
        <w:numPr>
          <w:ilvl w:val="4"/>
          <w:numId w:val="23"/>
        </w:numPr>
        <w:spacing w:after="0" w:line="240" w:lineRule="auto"/>
        <w:ind w:left="709"/>
        <w:jc w:val="both"/>
        <w:rPr>
          <w:rFonts w:ascii="Tahoma" w:eastAsia="Times New Roman" w:hAnsi="Tahoma" w:cs="Tahoma"/>
          <w:sz w:val="18"/>
          <w:szCs w:val="18"/>
          <w:lang w:val="sl-SI" w:eastAsia="sl-SI"/>
        </w:rPr>
      </w:pPr>
      <w:r w:rsidRPr="00EB620D">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153F6D6C" w14:textId="67437C3A" w:rsidR="00A63F34" w:rsidRPr="00EB620D" w:rsidRDefault="00A63F34" w:rsidP="00EB620D">
      <w:pPr>
        <w:pStyle w:val="Odstavekseznama"/>
        <w:numPr>
          <w:ilvl w:val="4"/>
          <w:numId w:val="23"/>
        </w:numPr>
        <w:spacing w:after="0" w:line="240" w:lineRule="auto"/>
        <w:ind w:left="709"/>
        <w:jc w:val="both"/>
        <w:rPr>
          <w:rFonts w:ascii="Tahoma" w:eastAsia="Times New Roman" w:hAnsi="Tahoma" w:cs="Tahoma"/>
          <w:sz w:val="18"/>
          <w:szCs w:val="18"/>
          <w:lang w:val="sl-SI" w:eastAsia="sl-SI"/>
        </w:rPr>
      </w:pPr>
      <w:r w:rsidRPr="00EB620D">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3D5592DD" w14:textId="27195D62" w:rsidR="00A63F34" w:rsidRPr="00EB620D" w:rsidRDefault="00A63F34" w:rsidP="00EB620D">
      <w:pPr>
        <w:pStyle w:val="Odstavekseznama"/>
        <w:numPr>
          <w:ilvl w:val="4"/>
          <w:numId w:val="23"/>
        </w:numPr>
        <w:spacing w:after="0" w:line="240" w:lineRule="auto"/>
        <w:ind w:left="709"/>
        <w:jc w:val="both"/>
        <w:rPr>
          <w:rFonts w:ascii="Tahoma" w:eastAsia="Times New Roman" w:hAnsi="Tahoma" w:cs="Tahoma"/>
          <w:sz w:val="18"/>
          <w:szCs w:val="18"/>
          <w:lang w:val="sl-SI" w:eastAsia="sl-SI"/>
        </w:rPr>
      </w:pPr>
      <w:r w:rsidRPr="00EB620D">
        <w:rPr>
          <w:rFonts w:ascii="Tahoma" w:eastAsia="Times New Roman" w:hAnsi="Tahoma" w:cs="Tahoma"/>
          <w:sz w:val="18"/>
          <w:szCs w:val="18"/>
          <w:lang w:val="sl-SI" w:eastAsia="sl-SI"/>
        </w:rPr>
        <w:t>da veljavni predpisi s področja javnega naročanja izrecno določajo, kateri so javni podatki,</w:t>
      </w:r>
    </w:p>
    <w:p w14:paraId="16EFFED5" w14:textId="51EFC70C" w:rsidR="00A63F34" w:rsidRPr="00EB620D" w:rsidRDefault="00A63F34" w:rsidP="00EB620D">
      <w:pPr>
        <w:pStyle w:val="Odstavekseznama"/>
        <w:numPr>
          <w:ilvl w:val="4"/>
          <w:numId w:val="23"/>
        </w:numPr>
        <w:spacing w:after="0" w:line="240" w:lineRule="auto"/>
        <w:ind w:left="709"/>
        <w:jc w:val="both"/>
        <w:rPr>
          <w:rFonts w:ascii="Tahoma" w:eastAsia="Times New Roman" w:hAnsi="Tahoma" w:cs="Tahoma"/>
          <w:sz w:val="18"/>
          <w:szCs w:val="18"/>
          <w:lang w:val="sl-SI" w:eastAsia="sl-SI"/>
        </w:rPr>
      </w:pPr>
      <w:r w:rsidRPr="00EB620D">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100FDCFE" w14:textId="77C1F745" w:rsidR="00A63F34" w:rsidRPr="00EB620D" w:rsidRDefault="00A63F34" w:rsidP="00EB620D">
      <w:pPr>
        <w:pStyle w:val="Odstavekseznama"/>
        <w:numPr>
          <w:ilvl w:val="4"/>
          <w:numId w:val="23"/>
        </w:numPr>
        <w:spacing w:after="0" w:line="240" w:lineRule="auto"/>
        <w:ind w:left="709"/>
        <w:jc w:val="both"/>
        <w:rPr>
          <w:rFonts w:ascii="Tahoma" w:eastAsia="Times New Roman" w:hAnsi="Tahoma" w:cs="Tahoma"/>
          <w:sz w:val="18"/>
          <w:szCs w:val="18"/>
          <w:lang w:val="sl-SI" w:eastAsia="sl-SI"/>
        </w:rPr>
      </w:pPr>
      <w:r w:rsidRPr="00EB620D">
        <w:rPr>
          <w:rFonts w:ascii="Tahoma" w:eastAsia="Times New Roman" w:hAnsi="Tahoma" w:cs="Tahoma"/>
          <w:sz w:val="18"/>
          <w:szCs w:val="18"/>
          <w:lang w:val="sl-SI" w:eastAsia="sl-SI"/>
        </w:rPr>
        <w:t>da tajne in osebne podatke določajo veljavni predpisi.</w:t>
      </w:r>
    </w:p>
    <w:p w14:paraId="4B9DA4CF" w14:textId="77777777" w:rsidR="00A63F34" w:rsidRPr="00A63F34" w:rsidRDefault="00A63F34" w:rsidP="00A63F34">
      <w:pPr>
        <w:spacing w:after="0" w:line="240" w:lineRule="auto"/>
        <w:jc w:val="both"/>
        <w:rPr>
          <w:rFonts w:ascii="Tahoma" w:eastAsia="Times New Roman" w:hAnsi="Tahoma" w:cs="Tahoma"/>
          <w:sz w:val="18"/>
          <w:szCs w:val="18"/>
          <w:lang w:val="sl-SI" w:eastAsia="sl-SI"/>
        </w:rPr>
      </w:pPr>
    </w:p>
    <w:p w14:paraId="79C87D4D" w14:textId="77777777" w:rsidR="00A63F34" w:rsidRPr="00A63F34" w:rsidRDefault="00A63F34" w:rsidP="00EB620D">
      <w:pPr>
        <w:spacing w:after="0" w:line="240" w:lineRule="auto"/>
        <w:ind w:left="357"/>
        <w:jc w:val="both"/>
        <w:rPr>
          <w:rFonts w:ascii="Tahoma" w:eastAsia="Times New Roman" w:hAnsi="Tahoma" w:cs="Tahoma"/>
          <w:sz w:val="18"/>
          <w:szCs w:val="18"/>
          <w:lang w:val="sl-SI" w:eastAsia="sl-SI"/>
        </w:rPr>
      </w:pPr>
      <w:r w:rsidRPr="00A63F34">
        <w:rPr>
          <w:rFonts w:ascii="Tahoma" w:eastAsia="Times New Roman" w:hAnsi="Tahoma" w:cs="Tahoma"/>
          <w:sz w:val="18"/>
          <w:szCs w:val="18"/>
          <w:lang w:val="sl-SI" w:eastAsia="sl-SI"/>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1B7BE697" w14:textId="77777777" w:rsidR="00A63F34" w:rsidRPr="00A63F34" w:rsidRDefault="00A63F34" w:rsidP="00A63F34">
      <w:pPr>
        <w:spacing w:after="0" w:line="240" w:lineRule="auto"/>
        <w:jc w:val="both"/>
        <w:rPr>
          <w:rFonts w:ascii="Tahoma" w:eastAsia="Times New Roman" w:hAnsi="Tahoma" w:cs="Tahoma"/>
          <w:sz w:val="18"/>
          <w:szCs w:val="18"/>
          <w:lang w:val="sl-SI" w:eastAsia="sl-SI"/>
        </w:rPr>
      </w:pPr>
    </w:p>
    <w:p w14:paraId="7B49ECD1" w14:textId="77777777" w:rsidR="00A63F34" w:rsidRPr="00A63F34" w:rsidRDefault="00A63F34" w:rsidP="00EB620D">
      <w:pPr>
        <w:spacing w:after="0" w:line="240" w:lineRule="auto"/>
        <w:ind w:left="357"/>
        <w:jc w:val="both"/>
        <w:rPr>
          <w:rFonts w:ascii="Tahoma" w:eastAsia="Times New Roman" w:hAnsi="Tahoma" w:cs="Tahoma"/>
          <w:sz w:val="18"/>
          <w:szCs w:val="18"/>
          <w:lang w:val="sl-SI" w:eastAsia="sl-SI"/>
        </w:rPr>
      </w:pPr>
      <w:r w:rsidRPr="00A63F34">
        <w:rPr>
          <w:rFonts w:ascii="Tahoma" w:eastAsia="Times New Roman" w:hAnsi="Tahoma" w:cs="Tahoma"/>
          <w:sz w:val="18"/>
          <w:szCs w:val="18"/>
          <w:lang w:val="sl-SI" w:eastAsia="sl-SI"/>
        </w:rPr>
        <w:t>3) Pogodbeni stranki se zavežeta uporabljati in varovati vse pri izvajanju te pogodbe pridobljene osebne in/ali občutljive osebne podatke v skladu z veljavnimi predpisi o varovanju osebnih in/ali občutljivih osebnih podatkov.</w:t>
      </w:r>
    </w:p>
    <w:p w14:paraId="5E0F1672" w14:textId="77777777" w:rsidR="00A63F34" w:rsidRPr="00A63F34" w:rsidRDefault="00A63F34" w:rsidP="00A63F34">
      <w:pPr>
        <w:spacing w:after="0" w:line="240" w:lineRule="auto"/>
        <w:jc w:val="both"/>
        <w:rPr>
          <w:rFonts w:ascii="Tahoma" w:eastAsia="Times New Roman" w:hAnsi="Tahoma" w:cs="Tahoma"/>
          <w:sz w:val="18"/>
          <w:szCs w:val="18"/>
          <w:lang w:val="sl-SI" w:eastAsia="sl-SI"/>
        </w:rPr>
      </w:pPr>
    </w:p>
    <w:p w14:paraId="03DCEB75" w14:textId="77777777" w:rsidR="00A63F34" w:rsidRPr="00A63F34" w:rsidRDefault="00A63F34" w:rsidP="00EB620D">
      <w:pPr>
        <w:spacing w:after="0" w:line="240" w:lineRule="auto"/>
        <w:ind w:left="357"/>
        <w:jc w:val="both"/>
        <w:rPr>
          <w:rFonts w:ascii="Tahoma" w:eastAsia="Times New Roman" w:hAnsi="Tahoma" w:cs="Tahoma"/>
          <w:sz w:val="18"/>
          <w:szCs w:val="18"/>
          <w:lang w:val="sl-SI" w:eastAsia="sl-SI"/>
        </w:rPr>
      </w:pPr>
      <w:r w:rsidRPr="00A63F34">
        <w:rPr>
          <w:rFonts w:ascii="Tahoma" w:eastAsia="Times New Roman" w:hAnsi="Tahoma" w:cs="Tahoma"/>
          <w:sz w:val="18"/>
          <w:szCs w:val="18"/>
          <w:lang w:val="sl-SI" w:eastAsia="sl-SI"/>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4D41AB63" w14:textId="77777777" w:rsidR="00A63F34" w:rsidRPr="00A63F34" w:rsidRDefault="00A63F34" w:rsidP="00A63F34">
      <w:pPr>
        <w:spacing w:after="0" w:line="240" w:lineRule="auto"/>
        <w:jc w:val="both"/>
        <w:rPr>
          <w:rFonts w:ascii="Tahoma" w:eastAsia="Times New Roman" w:hAnsi="Tahoma" w:cs="Tahoma"/>
          <w:sz w:val="18"/>
          <w:szCs w:val="18"/>
          <w:lang w:val="sl-SI" w:eastAsia="sl-SI"/>
        </w:rPr>
      </w:pPr>
    </w:p>
    <w:p w14:paraId="6B58E488" w14:textId="77777777" w:rsidR="00A63F34" w:rsidRPr="00A63F34" w:rsidRDefault="00A63F34" w:rsidP="00EB620D">
      <w:pPr>
        <w:spacing w:after="0" w:line="240" w:lineRule="auto"/>
        <w:ind w:left="357"/>
        <w:jc w:val="both"/>
        <w:rPr>
          <w:rFonts w:ascii="Tahoma" w:eastAsia="Times New Roman" w:hAnsi="Tahoma" w:cs="Tahoma"/>
          <w:sz w:val="18"/>
          <w:szCs w:val="18"/>
          <w:lang w:val="sl-SI" w:eastAsia="sl-SI"/>
        </w:rPr>
      </w:pPr>
      <w:r w:rsidRPr="00A63F34">
        <w:rPr>
          <w:rFonts w:ascii="Tahoma" w:eastAsia="Times New Roman" w:hAnsi="Tahoma" w:cs="Tahoma"/>
          <w:sz w:val="18"/>
          <w:szCs w:val="18"/>
          <w:lang w:val="sl-SI" w:eastAsia="sl-SI"/>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4C442101" w14:textId="77777777" w:rsidR="00A63F34" w:rsidRPr="00A63F34" w:rsidRDefault="00A63F34" w:rsidP="00A63F34">
      <w:pPr>
        <w:spacing w:after="0" w:line="240" w:lineRule="auto"/>
        <w:jc w:val="both"/>
        <w:rPr>
          <w:rFonts w:ascii="Tahoma" w:eastAsia="Times New Roman" w:hAnsi="Tahoma" w:cs="Tahoma"/>
          <w:sz w:val="18"/>
          <w:szCs w:val="18"/>
          <w:lang w:val="sl-SI" w:eastAsia="sl-SI"/>
        </w:rPr>
      </w:pPr>
    </w:p>
    <w:p w14:paraId="6CB2F6E8" w14:textId="77777777" w:rsidR="00A63F34" w:rsidRPr="00A63F34" w:rsidRDefault="00A63F34" w:rsidP="00EB620D">
      <w:pPr>
        <w:spacing w:after="0" w:line="240" w:lineRule="auto"/>
        <w:ind w:left="357"/>
        <w:jc w:val="both"/>
        <w:rPr>
          <w:rFonts w:ascii="Tahoma" w:eastAsia="Times New Roman" w:hAnsi="Tahoma" w:cs="Tahoma"/>
          <w:sz w:val="18"/>
          <w:szCs w:val="18"/>
          <w:lang w:val="sl-SI" w:eastAsia="sl-SI"/>
        </w:rPr>
      </w:pPr>
      <w:r w:rsidRPr="00A63F34">
        <w:rPr>
          <w:rFonts w:ascii="Tahoma" w:eastAsia="Times New Roman" w:hAnsi="Tahoma" w:cs="Tahoma"/>
          <w:sz w:val="18"/>
          <w:szCs w:val="18"/>
          <w:lang w:val="sl-SI" w:eastAsia="sl-SI"/>
        </w:rPr>
        <w:t>6) Prodajalec mora naročnika takoj obvestiti o vsakem disciplinskem in/ali drugem postopku zaradi kršitev obveznosti, ki ga je zoper zaposlenega sprožil v zvezi z izvajanjem del iz te pogodbe in/ali obveznosti iz tega člena.</w:t>
      </w:r>
    </w:p>
    <w:p w14:paraId="28B7106D" w14:textId="77777777" w:rsidR="00A63F34" w:rsidRPr="00A63F34" w:rsidRDefault="00A63F34" w:rsidP="00A63F34">
      <w:pPr>
        <w:spacing w:after="0" w:line="240" w:lineRule="auto"/>
        <w:jc w:val="both"/>
        <w:rPr>
          <w:rFonts w:ascii="Tahoma" w:eastAsia="Times New Roman" w:hAnsi="Tahoma" w:cs="Tahoma"/>
          <w:sz w:val="18"/>
          <w:szCs w:val="18"/>
          <w:lang w:val="sl-SI" w:eastAsia="sl-SI"/>
        </w:rPr>
      </w:pPr>
    </w:p>
    <w:p w14:paraId="11FE000A" w14:textId="77777777" w:rsidR="00A63F34" w:rsidRPr="00A63F34" w:rsidRDefault="00A63F34" w:rsidP="00EB620D">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ind w:left="357"/>
        <w:jc w:val="both"/>
        <w:rPr>
          <w:rFonts w:ascii="Tahoma" w:hAnsi="Tahoma" w:cs="Tahoma"/>
          <w:sz w:val="18"/>
          <w:szCs w:val="18"/>
          <w:lang w:val="sl-SI"/>
        </w:rPr>
      </w:pPr>
      <w:r w:rsidRPr="00A63F34">
        <w:rPr>
          <w:rFonts w:ascii="Tahoma" w:hAnsi="Tahoma" w:cs="Tahoma"/>
          <w:sz w:val="18"/>
          <w:szCs w:val="18"/>
          <w:lang w:val="sl-SI"/>
        </w:rPr>
        <w:t>7) Obveznost varovanja poslovnih skrivnosti, tajnih in osebnih podatkov, se nanaša tako na čas izvrševanja pogodbe, kot tudi na čas po tem.</w:t>
      </w:r>
    </w:p>
    <w:p w14:paraId="6D0279B7" w14:textId="77777777" w:rsidR="00EB620D" w:rsidRDefault="00EB620D" w:rsidP="00B77181">
      <w:pPr>
        <w:keepLines/>
        <w:widowControl w:val="0"/>
        <w:spacing w:after="0" w:line="240" w:lineRule="auto"/>
        <w:jc w:val="center"/>
        <w:rPr>
          <w:rFonts w:ascii="Tahoma" w:hAnsi="Tahoma" w:cs="Tahoma"/>
          <w:sz w:val="18"/>
          <w:szCs w:val="18"/>
          <w:lang w:val="sl-SI"/>
        </w:rPr>
      </w:pPr>
    </w:p>
    <w:p w14:paraId="343492A2" w14:textId="175D2FE1"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rsidP="00B7718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27F69F36" w14:textId="12318887" w:rsidR="00B77181" w:rsidRPr="00B77181" w:rsidRDefault="00B77181" w:rsidP="00EB620D">
      <w:pPr>
        <w:pStyle w:val="Odstavekseznama"/>
        <w:numPr>
          <w:ilvl w:val="2"/>
          <w:numId w:val="15"/>
        </w:numPr>
        <w:spacing w:after="120"/>
        <w:rPr>
          <w:rFonts w:ascii="Tahoma" w:hAnsi="Tahoma" w:cs="Tahoma"/>
          <w:sz w:val="18"/>
          <w:szCs w:val="18"/>
          <w:lang w:val="sl-SI"/>
        </w:rPr>
      </w:pPr>
      <w:r>
        <w:rPr>
          <w:rFonts w:ascii="Tahoma" w:hAnsi="Tahoma" w:cs="Tahoma"/>
          <w:sz w:val="18"/>
          <w:szCs w:val="18"/>
          <w:lang w:val="sl-SI"/>
        </w:rPr>
        <w:t>Okvirni sporazum/p</w:t>
      </w:r>
      <w:r w:rsidRPr="00B77181">
        <w:rPr>
          <w:rFonts w:ascii="Tahoma" w:hAnsi="Tahoma" w:cs="Tahoma"/>
          <w:sz w:val="18"/>
          <w:szCs w:val="18"/>
          <w:lang w:val="sl-SI"/>
        </w:rPr>
        <w:t xml:space="preserve">ogodba, pri kateri kdo v imenu ali na račun izvajalca, predstavniku ali posredniku naročnika obljubi, ponudi ali da kakšno nedovoljeno korist za pridobitev posla ali za sklenitev posla pod ugodnejšimi pogoji ali </w:t>
      </w:r>
      <w:r w:rsidRPr="00B77181">
        <w:rPr>
          <w:rFonts w:ascii="Tahoma" w:hAnsi="Tahoma" w:cs="Tahoma"/>
          <w:sz w:val="18"/>
          <w:szCs w:val="18"/>
          <w:lang w:val="sl-SI"/>
        </w:rPr>
        <w:lastRenderedPageBreak/>
        <w:t>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77777777" w:rsidR="00632E64" w:rsidRPr="00417330" w:rsidRDefault="00632E64" w:rsidP="00B77181">
      <w:pPr>
        <w:keepLines/>
        <w:widowControl w:val="0"/>
        <w:numPr>
          <w:ilvl w:val="2"/>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B77181">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B77181">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B77181">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B77181">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B77181">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711A12C5"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3"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3"/>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67C8F202" w:rsidR="00A00472" w:rsidRPr="00417330" w:rsidRDefault="00B77181">
            <w:pPr>
              <w:keepLines/>
              <w:widowControl w:val="0"/>
              <w:spacing w:after="0" w:line="240" w:lineRule="auto"/>
              <w:jc w:val="both"/>
              <w:rPr>
                <w:rFonts w:ascii="Tahoma" w:hAnsi="Tahoma" w:cs="Tahoma"/>
                <w:sz w:val="18"/>
                <w:szCs w:val="18"/>
              </w:rPr>
            </w:pPr>
            <w:r>
              <w:rPr>
                <w:rFonts w:ascii="Tahoma" w:hAnsi="Tahoma" w:cs="Tahoma"/>
                <w:sz w:val="18"/>
                <w:szCs w:val="18"/>
              </w:rPr>
              <w:t>04.09.2023</w:t>
            </w:r>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044591C8" w:rsidR="00A00472" w:rsidRPr="00417330" w:rsidRDefault="00B77181" w:rsidP="00B77181">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w:t>
            </w:r>
            <w:r w:rsidRPr="00417330">
              <w:rPr>
                <w:rFonts w:ascii="Tahoma" w:hAnsi="Tahoma" w:cs="Tahoma"/>
                <w:sz w:val="18"/>
                <w:szCs w:val="18"/>
                <w:lang w:val="sl-SI"/>
              </w:rPr>
              <w:lastRenderedPageBreak/>
              <w:t>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72927166" w:rsidR="00A00472" w:rsidRPr="00417330" w:rsidRDefault="00B77181">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27AD8A12" w:rsidR="00A00472" w:rsidRPr="00417330" w:rsidRDefault="00B77181">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D751FD">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23E6708C"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4"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4"/>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5"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5"/>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6"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6"/>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7"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7"/>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8" w:name="Text182"/>
        <w:bookmarkEnd w:id="18"/>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9"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9"/>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0"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0"/>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41AFD68D" w:rsidR="00417330" w:rsidRPr="00417330" w:rsidRDefault="0069735F"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10"/>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49061" w14:textId="77777777" w:rsidR="00C86A9F" w:rsidRDefault="00C86A9F" w:rsidP="00787D0D">
      <w:pPr>
        <w:spacing w:after="0" w:line="240" w:lineRule="auto"/>
      </w:pPr>
      <w:r>
        <w:separator/>
      </w:r>
    </w:p>
  </w:endnote>
  <w:endnote w:type="continuationSeparator" w:id="0">
    <w:p w14:paraId="308C0FEC" w14:textId="77777777" w:rsidR="00C86A9F" w:rsidRDefault="00C86A9F"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C86A9F" w:rsidRDefault="00C86A9F">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AC2F6F">
              <w:rPr>
                <w:b/>
                <w:bCs/>
                <w:noProof/>
              </w:rPr>
              <w:t>6</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AC2F6F">
              <w:rPr>
                <w:b/>
                <w:bCs/>
                <w:noProof/>
              </w:rPr>
              <w:t>7</w:t>
            </w:r>
            <w:r>
              <w:rPr>
                <w:b/>
                <w:bCs/>
                <w:sz w:val="24"/>
                <w:szCs w:val="24"/>
              </w:rPr>
              <w:fldChar w:fldCharType="end"/>
            </w:r>
          </w:p>
        </w:sdtContent>
      </w:sdt>
    </w:sdtContent>
  </w:sdt>
  <w:p w14:paraId="219BB45F" w14:textId="77777777" w:rsidR="00C86A9F" w:rsidRDefault="00C86A9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14761" w14:textId="77777777" w:rsidR="00C86A9F" w:rsidRDefault="00C86A9F" w:rsidP="00787D0D">
      <w:pPr>
        <w:spacing w:after="0" w:line="240" w:lineRule="auto"/>
      </w:pPr>
      <w:r>
        <w:separator/>
      </w:r>
    </w:p>
  </w:footnote>
  <w:footnote w:type="continuationSeparator" w:id="0">
    <w:p w14:paraId="3F45EFBC" w14:textId="77777777" w:rsidR="00C86A9F" w:rsidRDefault="00C86A9F" w:rsidP="00787D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4F6C34"/>
    <w:multiLevelType w:val="hybridMultilevel"/>
    <w:tmpl w:val="460ED4BC"/>
    <w:lvl w:ilvl="0" w:tplc="AB78A27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AD3479"/>
    <w:multiLevelType w:val="multilevel"/>
    <w:tmpl w:val="2A3C89B6"/>
    <w:lvl w:ilvl="0">
      <w:start w:val="1"/>
      <w:numFmt w:val="decimal"/>
      <w:lvlText w:val="%1)"/>
      <w:lvlJc w:val="left"/>
      <w:pPr>
        <w:ind w:left="360" w:hanging="360"/>
      </w:pPr>
      <w:rPr>
        <w:rFonts w:ascii="Tahoma" w:eastAsia="Times New Roman" w:hAnsi="Tahoma" w:cs="Tahoma"/>
      </w:r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8"/>
  </w:num>
  <w:num w:numId="3">
    <w:abstractNumId w:val="19"/>
  </w:num>
  <w:num w:numId="4">
    <w:abstractNumId w:val="8"/>
  </w:num>
  <w:num w:numId="5">
    <w:abstractNumId w:val="15"/>
  </w:num>
  <w:num w:numId="6">
    <w:abstractNumId w:val="23"/>
  </w:num>
  <w:num w:numId="7">
    <w:abstractNumId w:val="21"/>
  </w:num>
  <w:num w:numId="8">
    <w:abstractNumId w:val="4"/>
  </w:num>
  <w:num w:numId="9">
    <w:abstractNumId w:val="2"/>
  </w:num>
  <w:num w:numId="10">
    <w:abstractNumId w:val="6"/>
  </w:num>
  <w:num w:numId="11">
    <w:abstractNumId w:val="13"/>
  </w:num>
  <w:num w:numId="12">
    <w:abstractNumId w:val="7"/>
  </w:num>
  <w:num w:numId="13">
    <w:abstractNumId w:val="17"/>
  </w:num>
  <w:num w:numId="14">
    <w:abstractNumId w:val="3"/>
  </w:num>
  <w:num w:numId="15">
    <w:abstractNumId w:val="16"/>
  </w:num>
  <w:num w:numId="16">
    <w:abstractNumId w:val="1"/>
  </w:num>
  <w:num w:numId="17">
    <w:abstractNumId w:val="12"/>
  </w:num>
  <w:num w:numId="18">
    <w:abstractNumId w:val="11"/>
  </w:num>
  <w:num w:numId="19">
    <w:abstractNumId w:val="9"/>
  </w:num>
  <w:num w:numId="20">
    <w:abstractNumId w:val="0"/>
  </w:num>
  <w:num w:numId="21">
    <w:abstractNumId w:val="20"/>
  </w:num>
  <w:num w:numId="22">
    <w:abstractNumId w:val="10"/>
  </w:num>
  <w:num w:numId="23">
    <w:abstractNumId w:val="2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472"/>
    <w:rsid w:val="00110A3C"/>
    <w:rsid w:val="00112588"/>
    <w:rsid w:val="001D0BED"/>
    <w:rsid w:val="001E6B84"/>
    <w:rsid w:val="001F17F1"/>
    <w:rsid w:val="00201289"/>
    <w:rsid w:val="00283D03"/>
    <w:rsid w:val="002D056B"/>
    <w:rsid w:val="00332952"/>
    <w:rsid w:val="00385FF3"/>
    <w:rsid w:val="0039153C"/>
    <w:rsid w:val="003F6EA8"/>
    <w:rsid w:val="00404DA2"/>
    <w:rsid w:val="00417330"/>
    <w:rsid w:val="0043390A"/>
    <w:rsid w:val="00434C12"/>
    <w:rsid w:val="00444439"/>
    <w:rsid w:val="004E0E5B"/>
    <w:rsid w:val="00632E64"/>
    <w:rsid w:val="00682256"/>
    <w:rsid w:val="0069735F"/>
    <w:rsid w:val="007509FE"/>
    <w:rsid w:val="00787D0D"/>
    <w:rsid w:val="007926B3"/>
    <w:rsid w:val="007E7421"/>
    <w:rsid w:val="008D619C"/>
    <w:rsid w:val="008E21F7"/>
    <w:rsid w:val="009219BF"/>
    <w:rsid w:val="00963F55"/>
    <w:rsid w:val="0097503C"/>
    <w:rsid w:val="009C2EAA"/>
    <w:rsid w:val="00A00472"/>
    <w:rsid w:val="00A627C3"/>
    <w:rsid w:val="00A62D82"/>
    <w:rsid w:val="00A63F34"/>
    <w:rsid w:val="00AC2F6F"/>
    <w:rsid w:val="00AC4DA5"/>
    <w:rsid w:val="00AD3ECE"/>
    <w:rsid w:val="00B20542"/>
    <w:rsid w:val="00B20634"/>
    <w:rsid w:val="00B32699"/>
    <w:rsid w:val="00B77181"/>
    <w:rsid w:val="00C86A9F"/>
    <w:rsid w:val="00CB3DD4"/>
    <w:rsid w:val="00CC40D4"/>
    <w:rsid w:val="00D4308D"/>
    <w:rsid w:val="00D751FD"/>
    <w:rsid w:val="00E05D38"/>
    <w:rsid w:val="00E43680"/>
    <w:rsid w:val="00E7543D"/>
    <w:rsid w:val="00E761EF"/>
    <w:rsid w:val="00E7797E"/>
    <w:rsid w:val="00EB620D"/>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ajnistvo.direktorja@bolnisnica-go.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2429A89-834A-4CFA-9F71-16A0DAC92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7</Pages>
  <Words>3352</Words>
  <Characters>19112</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41</cp:revision>
  <dcterms:created xsi:type="dcterms:W3CDTF">2020-05-06T10:55:00Z</dcterms:created>
  <dcterms:modified xsi:type="dcterms:W3CDTF">2021-10-01T05:57:00Z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