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7A24201" w:rsidR="00495EC3" w:rsidRPr="00F21930" w:rsidRDefault="004C407F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C407F">
              <w:rPr>
                <w:rFonts w:ascii="Tahoma" w:eastAsia="Calibri" w:hAnsi="Tahoma" w:cs="Tahoma"/>
                <w:sz w:val="20"/>
                <w:szCs w:val="20"/>
              </w:rPr>
              <w:t>200-46/2020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30D4A49" w:rsidR="00495EC3" w:rsidRPr="004C407F" w:rsidRDefault="004C407F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/>
            <w:r w:rsidRPr="004C407F">
              <w:rPr>
                <w:rFonts w:ascii="Tahoma" w:hAnsi="Tahoma" w:cs="Tahoma"/>
                <w:b/>
                <w:sz w:val="20"/>
                <w:szCs w:val="20"/>
              </w:rPr>
              <w:t>Žilne proteze (ANL11E10)</w:t>
            </w:r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0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0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C407F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BBA9-1B6C-4818-9896-3537893C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2020-11-13T08:36:00Z</dcterms:modified>
</cp:coreProperties>
</file>