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8E5C25" w:rsidP="00332952">
            <w:pPr>
              <w:keepLines/>
              <w:widowControl w:val="0"/>
              <w:spacing w:after="0" w:line="240" w:lineRule="auto"/>
              <w:rPr>
                <w:rFonts w:ascii="Tahoma" w:hAnsi="Tahoma" w:cs="Tahoma"/>
                <w:sz w:val="18"/>
                <w:szCs w:val="18"/>
                <w:lang w:val="sl-SI"/>
              </w:rPr>
            </w:pPr>
            <w:hyperlink r:id="rId9"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8BF8DEA" w:rsidR="00332952" w:rsidRPr="00417330" w:rsidRDefault="00DF5A0E"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laboratorija</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98A8BB5"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DF5A0E" w:rsidRPr="00DF5A0E">
              <w:rPr>
                <w:rFonts w:ascii="Tahoma" w:eastAsia="Times New Roman" w:hAnsi="Tahoma" w:cs="Tahoma"/>
                <w:color w:val="000000"/>
                <w:sz w:val="20"/>
                <w:szCs w:val="24"/>
                <w:lang w:val="sl-SI" w:eastAsia="zh-CN"/>
              </w:rPr>
              <w:t xml:space="preserve"> </w:t>
            </w:r>
            <w:r w:rsidR="00DF5A0E" w:rsidRPr="00DF5A0E">
              <w:rPr>
                <w:rFonts w:ascii="Tahoma" w:eastAsia="Times New Roman" w:hAnsi="Tahoma" w:cs="Tahoma"/>
                <w:b/>
                <w:color w:val="000000"/>
                <w:sz w:val="20"/>
                <w:szCs w:val="24"/>
                <w:lang w:val="sl-SI" w:eastAsia="zh-CN"/>
              </w:rPr>
              <w:t>LABORATORIJSKEGA MATERIALA ZA CENTRALNI LABORATORIJ</w:t>
            </w:r>
            <w:r w:rsidRPr="00417330">
              <w:rPr>
                <w:rFonts w:ascii="Tahoma" w:hAnsi="Tahoma" w:cs="Tahoma"/>
                <w:b/>
                <w:sz w:val="18"/>
                <w:szCs w:val="18"/>
                <w:lang w:val="sl-SI"/>
              </w:rPr>
              <w:t xml:space="preserve">; </w:t>
            </w:r>
          </w:p>
          <w:p w14:paraId="624C9E37" w14:textId="20D370CE" w:rsidR="00A00472" w:rsidRPr="00DF5A0E" w:rsidRDefault="007E7421">
            <w:pPr>
              <w:keepLines/>
              <w:widowControl w:val="0"/>
              <w:spacing w:after="0" w:line="240" w:lineRule="auto"/>
              <w:jc w:val="center"/>
              <w:rPr>
                <w:rFonts w:ascii="Tahoma" w:hAnsi="Tahoma" w:cs="Tahoma"/>
                <w:b/>
                <w:sz w:val="18"/>
                <w:szCs w:val="18"/>
              </w:rPr>
            </w:pPr>
            <w:r w:rsidRPr="00DF5A0E">
              <w:rPr>
                <w:rFonts w:ascii="Tahoma" w:hAnsi="Tahoma" w:cs="Tahoma"/>
                <w:b/>
                <w:sz w:val="18"/>
                <w:szCs w:val="18"/>
                <w:lang w:val="sl-SI"/>
              </w:rPr>
              <w:t xml:space="preserve">Sklop 1: </w:t>
            </w:r>
            <w:r w:rsidR="00DF5A0E" w:rsidRPr="00DF5A0E">
              <w:rPr>
                <w:rFonts w:ascii="Tahoma" w:hAnsi="Tahoma" w:cs="Tahoma"/>
                <w:b/>
                <w:sz w:val="18"/>
                <w:szCs w:val="18"/>
              </w:rPr>
              <w:t>1469-1</w:t>
            </w:r>
          </w:p>
          <w:p w14:paraId="5DB4846A" w14:textId="65D5147C" w:rsidR="00DF5A0E" w:rsidRPr="00DF5A0E" w:rsidRDefault="007E7421"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lang w:val="sl-SI"/>
              </w:rPr>
              <w:t xml:space="preserve">Sklop 2: </w:t>
            </w:r>
            <w:r w:rsidR="00DF5A0E" w:rsidRPr="00DF5A0E">
              <w:rPr>
                <w:rFonts w:ascii="Tahoma" w:hAnsi="Tahoma" w:cs="Tahoma"/>
                <w:b/>
                <w:sz w:val="18"/>
                <w:szCs w:val="18"/>
              </w:rPr>
              <w:t>1469-2</w:t>
            </w:r>
          </w:p>
          <w:p w14:paraId="53629914" w14:textId="77777777" w:rsidR="00DF5A0E" w:rsidRPr="00DF5A0E" w:rsidRDefault="00DF5A0E"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rPr>
              <w:t>Sklop 3: 1469-3</w:t>
            </w:r>
          </w:p>
          <w:p w14:paraId="378CAF45" w14:textId="77777777" w:rsidR="00DF5A0E" w:rsidRPr="00DF5A0E" w:rsidRDefault="00DF5A0E"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rPr>
              <w:t>Sklop 4: 1469-4</w:t>
            </w:r>
          </w:p>
          <w:p w14:paraId="6EE032E6" w14:textId="77777777" w:rsidR="00DF5A0E" w:rsidRPr="00DF5A0E" w:rsidRDefault="00DF5A0E"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rPr>
              <w:t>Sklop 5: 1469-5</w:t>
            </w:r>
          </w:p>
          <w:p w14:paraId="679BE5E1" w14:textId="77777777" w:rsidR="00DF5A0E" w:rsidRPr="00DF5A0E" w:rsidRDefault="00DF5A0E"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rPr>
              <w:t>Sklop 6: 1469-6</w:t>
            </w:r>
          </w:p>
          <w:p w14:paraId="314216FB" w14:textId="77777777" w:rsidR="00DF5A0E" w:rsidRPr="00DF5A0E" w:rsidRDefault="00DF5A0E"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rPr>
              <w:t>Sklop 7: 1469-7</w:t>
            </w:r>
          </w:p>
          <w:p w14:paraId="5AE09C58" w14:textId="77777777" w:rsidR="00DF5A0E" w:rsidRPr="00DF5A0E" w:rsidRDefault="00DF5A0E"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rPr>
              <w:t>Sklop 8: 1469-8</w:t>
            </w:r>
          </w:p>
          <w:p w14:paraId="61D9BF3E" w14:textId="77777777" w:rsidR="00DF5A0E" w:rsidRPr="00DF5A0E" w:rsidRDefault="00DF5A0E"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rPr>
              <w:t>Sklop 9: 1469-9</w:t>
            </w:r>
          </w:p>
          <w:p w14:paraId="002168E2" w14:textId="531E84F5" w:rsidR="001E6B84" w:rsidRPr="00DF5A0E" w:rsidRDefault="00DF5A0E"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rPr>
              <w:t>Sklop 10: 1469-10</w:t>
            </w:r>
            <w:r w:rsidR="001E6B84" w:rsidRPr="00DF5A0E">
              <w:rPr>
                <w:rFonts w:ascii="Tahoma" w:hAnsi="Tahoma" w:cs="Tahoma"/>
                <w:b/>
                <w:sz w:val="18"/>
                <w:szCs w:val="18"/>
              </w:rPr>
              <w:t xml:space="preserve">  </w:t>
            </w:r>
          </w:p>
          <w:p w14:paraId="17C16E30" w14:textId="77777777" w:rsidR="00DF5A0E" w:rsidRDefault="00DF5A0E" w:rsidP="008E21F7">
            <w:pPr>
              <w:keepLines/>
              <w:widowControl w:val="0"/>
              <w:spacing w:after="0" w:line="240" w:lineRule="auto"/>
              <w:jc w:val="center"/>
              <w:rPr>
                <w:rFonts w:ascii="Tahoma" w:hAnsi="Tahoma" w:cs="Tahoma"/>
                <w:b/>
                <w:sz w:val="18"/>
                <w:szCs w:val="18"/>
              </w:rPr>
            </w:pPr>
          </w:p>
          <w:p w14:paraId="368EB61F" w14:textId="27202894" w:rsidR="00A00472" w:rsidRPr="00417330" w:rsidRDefault="00110A3C" w:rsidP="00DF5A0E">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sidR="00DF5A0E">
              <w:rPr>
                <w:rFonts w:ascii="Tahoma" w:hAnsi="Tahoma" w:cs="Tahoma"/>
                <w:b/>
                <w:sz w:val="18"/>
                <w:szCs w:val="18"/>
                <w:lang w:val="sl-SI"/>
              </w:rPr>
              <w:t>:</w:t>
            </w:r>
            <w:r>
              <w:rPr>
                <w:rFonts w:ascii="Tahoma" w:hAnsi="Tahoma" w:cs="Tahoma"/>
                <w:b/>
                <w:sz w:val="18"/>
                <w:szCs w:val="18"/>
                <w:lang w:val="sl-SI"/>
              </w:rPr>
              <w:t xml:space="preserve"> </w:t>
            </w:r>
            <w:r w:rsidR="00DF5A0E" w:rsidRPr="00DF5A0E">
              <w:rPr>
                <w:rFonts w:ascii="Tahoma" w:hAnsi="Tahoma" w:cs="Tahoma"/>
                <w:b/>
                <w:sz w:val="18"/>
                <w:szCs w:val="18"/>
              </w:rPr>
              <w:t>200-51/2020</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2977BF2"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0"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lastRenderedPageBreak/>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5DFCB8BA" w:rsidR="00A00472" w:rsidRPr="00417330" w:rsidRDefault="007E7421" w:rsidP="00DF5A0E">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DF5A0E">
        <w:rPr>
          <w:rFonts w:ascii="Tahoma" w:hAnsi="Tahoma" w:cs="Tahoma"/>
          <w:sz w:val="18"/>
          <w:szCs w:val="18"/>
          <w:lang w:val="sl-SI"/>
        </w:rPr>
        <w:t>Laboratorijskega</w:t>
      </w:r>
      <w:r w:rsidR="00DF5A0E" w:rsidRPr="00DF5A0E">
        <w:rPr>
          <w:rFonts w:ascii="Tahoma" w:hAnsi="Tahoma" w:cs="Tahoma"/>
          <w:sz w:val="18"/>
          <w:szCs w:val="18"/>
          <w:lang w:val="sl-SI"/>
        </w:rPr>
        <w:t xml:space="preserve"> material</w:t>
      </w:r>
      <w:r w:rsidR="00DF5A0E">
        <w:rPr>
          <w:rFonts w:ascii="Tahoma" w:hAnsi="Tahoma" w:cs="Tahoma"/>
          <w:sz w:val="18"/>
          <w:szCs w:val="18"/>
          <w:lang w:val="sl-SI"/>
        </w:rPr>
        <w:t>a</w:t>
      </w:r>
      <w:r w:rsidR="00DF5A0E" w:rsidRPr="00DF5A0E">
        <w:rPr>
          <w:rFonts w:ascii="Tahoma" w:hAnsi="Tahoma" w:cs="Tahoma"/>
          <w:sz w:val="18"/>
          <w:szCs w:val="18"/>
          <w:lang w:val="sl-SI"/>
        </w:rPr>
        <w:t xml:space="preserve"> za centralni laboratorij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5"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5"/>
      <w:r w:rsidR="00110A3C">
        <w:rPr>
          <w:rFonts w:ascii="Tahoma" w:hAnsi="Tahoma" w:cs="Tahoma"/>
          <w:sz w:val="18"/>
          <w:szCs w:val="18"/>
          <w:lang w:val="sl-SI"/>
        </w:rPr>
        <w:t xml:space="preserve"> </w:t>
      </w:r>
      <w:r w:rsidR="008E21F7" w:rsidRPr="005B65A9">
        <w:rPr>
          <w:rFonts w:ascii="Tahoma" w:hAnsi="Tahoma" w:cs="Tahoma"/>
          <w:sz w:val="18"/>
          <w:szCs w:val="18"/>
        </w:rPr>
        <w:t>podpisa okvirnega sporazuma s strani zadnje od pogodbenih strank</w:t>
      </w:r>
      <w:r w:rsidR="008E21F7" w:rsidRPr="00417330">
        <w:rPr>
          <w:rFonts w:ascii="Tahoma" w:hAnsi="Tahoma" w:cs="Tahoma"/>
          <w:sz w:val="18"/>
          <w:szCs w:val="18"/>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6"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6"/>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090A7F02" w14:textId="7777777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bookmarkStart w:id="7" w:name="_Hlk49249554"/>
      <w:r w:rsidRPr="00DF5A0E">
        <w:rPr>
          <w:rFonts w:ascii="Tahoma" w:hAnsi="Tahoma" w:cs="Tahoma"/>
          <w:sz w:val="18"/>
          <w:szCs w:val="18"/>
          <w:lang w:val="sl-SI"/>
        </w:rPr>
        <w:t>Sklop 1</w:t>
      </w:r>
      <w:r w:rsidRPr="00DF5A0E">
        <w:rPr>
          <w:rFonts w:ascii="Tahoma" w:hAnsi="Tahoma" w:cs="Tahoma"/>
          <w:sz w:val="18"/>
          <w:szCs w:val="18"/>
          <w:lang w:val="sl-SI"/>
        </w:rPr>
        <w:tab/>
        <w:t>Lab.mat.-URINI,BLATO,PRIBOR; šifra JR 1469-1</w:t>
      </w:r>
    </w:p>
    <w:p w14:paraId="72B730FD" w14:textId="7777777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2 Lab.mat.-HEMOSTAZA; šifra JR 1469-2</w:t>
      </w:r>
    </w:p>
    <w:p w14:paraId="78DF3BC3" w14:textId="7777777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3 Lab.mat.-ELEKTROFOREZA; šifra JR1469-3</w:t>
      </w:r>
    </w:p>
    <w:p w14:paraId="2704B0BC" w14:textId="7777777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4 Lab.mat.-IMUNOLOGIJA I; šifra JR 1469-4</w:t>
      </w:r>
    </w:p>
    <w:p w14:paraId="79FCF0BD" w14:textId="7777777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5 Lab.mat.-IMUNOLOGIJA II; šifra JR 1469-5</w:t>
      </w:r>
    </w:p>
    <w:p w14:paraId="77AC77B2" w14:textId="7777777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6 Lab.mat.-BIOKEMIJA I, šifra JR 1469-6</w:t>
      </w:r>
    </w:p>
    <w:p w14:paraId="2E78DD61" w14:textId="7777777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7 Lab.mat.-BIOKEMIJA III; šifra JR 1469-7</w:t>
      </w:r>
    </w:p>
    <w:p w14:paraId="6DD19380" w14:textId="7777777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8 Lab.mat.-SEDIMENTACIJA; šifra JR 1469-8</w:t>
      </w:r>
    </w:p>
    <w:p w14:paraId="1C14775C" w14:textId="7777777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9 Lab.mat.PRESEJALNI TESTI:ALERGIJE,REVMAT; šifra JR 1469-9</w:t>
      </w:r>
    </w:p>
    <w:p w14:paraId="5833C097" w14:textId="7777777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10 Lab.mat.-Standardi; šifra JR 1469-10</w:t>
      </w:r>
    </w:p>
    <w:p w14:paraId="3F9236E8" w14:textId="77777777" w:rsidR="00DF5A0E" w:rsidRDefault="00DF5A0E" w:rsidP="00DF5A0E">
      <w:pPr>
        <w:pStyle w:val="Odstavekseznama"/>
        <w:keepLines/>
        <w:widowControl w:val="0"/>
        <w:spacing w:after="120" w:line="240" w:lineRule="auto"/>
        <w:ind w:left="1440"/>
        <w:jc w:val="both"/>
        <w:rPr>
          <w:rFonts w:ascii="Tahoma" w:hAnsi="Tahoma" w:cs="Tahoma"/>
          <w:sz w:val="18"/>
          <w:szCs w:val="18"/>
          <w:lang w:val="sl-SI"/>
        </w:rPr>
      </w:pPr>
    </w:p>
    <w:bookmarkEnd w:id="7"/>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655426E6" w14:textId="3CECFF0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1</w:t>
      </w:r>
      <w:r w:rsidRPr="00DF5A0E">
        <w:rPr>
          <w:rFonts w:ascii="Tahoma" w:hAnsi="Tahoma" w:cs="Tahoma"/>
          <w:sz w:val="18"/>
          <w:szCs w:val="18"/>
          <w:lang w:val="sl-SI"/>
        </w:rPr>
        <w:tab/>
        <w:t>Lab.mat.-URINI,BLATO,PRIBOR; šifra JR 1469-1</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8652576" w14:textId="73D115D1"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2 Lab.mat.-HEMOSTAZA; šifra JR 1469-2</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0B5B0CE4" w14:textId="1513E380"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3 Lab.mat.-ELEKTROFOREZA; šifra JR1469-3</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3F0A4552" w14:textId="6A5E8232"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4 Lab.mat.-IMUNOLOGIJA I; šifra JR 1469-4</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08122100" w14:textId="59E22D06"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5 Lab.mat.-IMUNOLOGIJA II; šifra JR 1469-5</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3A88B80B" w14:textId="11EEA444"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6 Lab.mat.-BIOKEMIJA I, šifra JR 1469-6</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2A095CEF" w14:textId="433A0ABE"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7 Lab.mat.-BIOKEMIJA III; šifra JR 1469-7</w:t>
      </w:r>
      <w:r>
        <w:rPr>
          <w:rFonts w:ascii="Tahoma" w:hAnsi="Tahoma" w:cs="Tahoma"/>
          <w:sz w:val="18"/>
          <w:szCs w:val="18"/>
          <w:lang w:val="sl-SI"/>
        </w:rPr>
        <w:t>;</w:t>
      </w:r>
      <w:r w:rsidRPr="00DF5A0E">
        <w:rPr>
          <w:rFonts w:ascii="Tahoma" w:hAnsi="Tahoma" w:cs="Tahoma"/>
          <w:b/>
          <w:bCs/>
          <w:sz w:val="18"/>
          <w:szCs w:val="18"/>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43EF59F" w14:textId="067706E8"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8 Lab.mat.-SEDIMENTACIJA; šifra JR 1469-8</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3E61A276" w14:textId="5026B4AD"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9 Lab.mat.PRESEJALNI TESTI:ALERGIJE,REVMAT; šifra JR 1469-9</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54703539" w14:textId="0ADB2FC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 10 Lab.mat.-Standardi; šifra JR 1469-10</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8"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9"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9"/>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0"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0"/>
      <w:r w:rsidRPr="00417330">
        <w:rPr>
          <w:rFonts w:ascii="Tahoma" w:hAnsi="Tahoma" w:cs="Tahoma"/>
          <w:b/>
          <w:bCs/>
          <w:sz w:val="18"/>
          <w:szCs w:val="18"/>
          <w:lang w:val="sl-SI"/>
        </w:rPr>
        <w:t xml:space="preserve"> EUR z DDV</w:t>
      </w:r>
      <w:bookmarkEnd w:id="8"/>
      <w:r w:rsidRPr="00417330">
        <w:rPr>
          <w:rFonts w:ascii="Tahoma" w:hAnsi="Tahoma" w:cs="Tahoma"/>
          <w:sz w:val="18"/>
          <w:szCs w:val="18"/>
          <w:lang w:val="sl-SI"/>
        </w:rPr>
        <w:t>.</w:t>
      </w:r>
    </w:p>
    <w:p w14:paraId="00C2BB96" w14:textId="7BA35689" w:rsidR="005C0ABA" w:rsidRPr="005B65A9" w:rsidRDefault="005C0ABA" w:rsidP="005C0ABA">
      <w:pPr>
        <w:pStyle w:val="Odstavekseznama"/>
        <w:numPr>
          <w:ilvl w:val="2"/>
          <w:numId w:val="7"/>
        </w:numPr>
        <w:rPr>
          <w:rFonts w:ascii="Tahoma" w:hAnsi="Tahoma" w:cs="Tahoma"/>
          <w:sz w:val="18"/>
          <w:szCs w:val="18"/>
        </w:rPr>
      </w:pPr>
      <w:r w:rsidRPr="005B65A9">
        <w:rPr>
          <w:rFonts w:ascii="Tahoma" w:hAnsi="Tahoma" w:cs="Tahoma"/>
          <w:sz w:val="18"/>
          <w:szCs w:val="18"/>
        </w:rPr>
        <w:lastRenderedPageBreak/>
        <w:t xml:space="preserve">Naročnik si pridružuje pravico do naročanja istovrstnega blaga, ki ni opredeljen v obrazcih »Specifikacija razpisanih artiklov </w:t>
      </w:r>
      <w:r w:rsidRPr="005B65A9">
        <w:rPr>
          <w:rFonts w:ascii="Tahoma" w:hAnsi="Tahoma" w:cs="Tahoma"/>
          <w:sz w:val="18"/>
          <w:szCs w:val="18"/>
        </w:rPr>
        <w:fldChar w:fldCharType="begin">
          <w:ffData>
            <w:name w:val="Besedilo209"/>
            <w:enabled/>
            <w:calcOnExit w:val="0"/>
            <w:textInput/>
          </w:ffData>
        </w:fldChar>
      </w:r>
      <w:bookmarkStart w:id="11" w:name="Besedilo209"/>
      <w:r w:rsidRPr="005B65A9">
        <w:rPr>
          <w:rFonts w:ascii="Tahoma" w:hAnsi="Tahoma" w:cs="Tahoma"/>
          <w:sz w:val="18"/>
          <w:szCs w:val="18"/>
        </w:rPr>
        <w:instrText xml:space="preserve"> FORMTEXT </w:instrText>
      </w:r>
      <w:r w:rsidRPr="005B65A9">
        <w:rPr>
          <w:rFonts w:ascii="Tahoma" w:hAnsi="Tahoma" w:cs="Tahoma"/>
          <w:sz w:val="18"/>
          <w:szCs w:val="18"/>
        </w:rPr>
      </w:r>
      <w:r w:rsidRPr="005B65A9">
        <w:rPr>
          <w:rFonts w:ascii="Tahoma" w:hAnsi="Tahoma" w:cs="Tahoma"/>
          <w:sz w:val="18"/>
          <w:szCs w:val="18"/>
        </w:rPr>
        <w:fldChar w:fldCharType="separate"/>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sz w:val="18"/>
          <w:szCs w:val="18"/>
        </w:rPr>
        <w:fldChar w:fldCharType="end"/>
      </w:r>
      <w:bookmarkEnd w:id="11"/>
      <w:r w:rsidRPr="005B65A9">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2DC0B5F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964983" w:rsidRPr="00804295">
              <w:rPr>
                <w:rFonts w:ascii="Tahoma" w:hAnsi="Tahoma" w:cs="Tahoma"/>
                <w:sz w:val="18"/>
                <w:szCs w:val="18"/>
                <w:lang w:val="sl-SI"/>
              </w:rPr>
              <w:t>Oddelek za laboratorijsko diagnostiko</w:t>
            </w:r>
            <w:r w:rsidR="00332952" w:rsidRPr="00804295">
              <w:rPr>
                <w:rFonts w:ascii="Tahoma" w:hAnsi="Tahoma" w:cs="Tahoma"/>
                <w:sz w:val="18"/>
                <w:szCs w:val="18"/>
                <w:lang w:val="sl-SI"/>
              </w:rPr>
              <w:t xml:space="preserve"> (razloženo)</w:t>
            </w:r>
            <w:r w:rsidRPr="00804295">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w:t>
            </w:r>
            <w:bookmarkStart w:id="12" w:name="_GoBack"/>
            <w:bookmarkEnd w:id="12"/>
            <w:r w:rsidRPr="00417330">
              <w:rPr>
                <w:rFonts w:ascii="Tahoma" w:hAnsi="Tahoma" w:cs="Tahoma"/>
                <w:sz w:val="18"/>
                <w:szCs w:val="18"/>
                <w:lang w:val="sl-SI"/>
              </w:rPr>
              <w:t>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7F3245C3" w:rsidR="0039153C" w:rsidRPr="00417330" w:rsidRDefault="008E5C25" w:rsidP="008E21F7">
            <w:pPr>
              <w:spacing w:after="0" w:line="240" w:lineRule="auto"/>
              <w:rPr>
                <w:rFonts w:ascii="Tahoma" w:eastAsia="Times New Roman" w:hAnsi="Tahoma" w:cs="Tahoma"/>
                <w:sz w:val="18"/>
                <w:szCs w:val="18"/>
                <w:lang w:val="sl-SI" w:eastAsia="sl-SI"/>
              </w:rPr>
            </w:pPr>
            <w:r w:rsidRPr="00435AA0">
              <w:rPr>
                <w:rFonts w:ascii="Tahoma" w:hAnsi="Tahoma" w:cs="Tahoma"/>
                <w:bCs/>
                <w:sz w:val="18"/>
                <w:szCs w:val="18"/>
                <w:lang w:val="sl-SI"/>
              </w:rPr>
              <w:t xml:space="preserve">v primeru naročila pod nujno </w:t>
            </w:r>
            <w:r w:rsidRPr="00435AA0">
              <w:rPr>
                <w:rFonts w:ascii="Tahoma" w:hAnsi="Tahoma" w:cs="Tahoma"/>
                <w:b/>
                <w:sz w:val="18"/>
                <w:szCs w:val="18"/>
                <w:lang w:val="sl-SI"/>
              </w:rPr>
              <w:t>3</w:t>
            </w:r>
            <w:r w:rsidRPr="00435AA0">
              <w:rPr>
                <w:rFonts w:ascii="Tahoma" w:hAnsi="Tahoma" w:cs="Tahoma"/>
                <w:bCs/>
                <w:sz w:val="18"/>
                <w:szCs w:val="18"/>
                <w:lang w:val="sl-SI"/>
              </w:rPr>
              <w:t xml:space="preserve"> delovne dni, sicer 7 delovnih dni od naročila.</w:t>
            </w:r>
            <w:r w:rsidR="00D4308D" w:rsidRPr="00417330">
              <w:rPr>
                <w:rFonts w:ascii="Tahoma" w:eastAsia="Times New Roman" w:hAnsi="Tahoma" w:cs="Tahoma"/>
                <w:sz w:val="18"/>
                <w:szCs w:val="18"/>
                <w:lang w:val="sl-SI" w:eastAsia="sl-SI"/>
              </w:rPr>
              <w:t xml:space="preserve">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3D3D8387"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90162A">
        <w:rPr>
          <w:rFonts w:ascii="Tahoma" w:hAnsi="Tahoma" w:cs="Tahoma"/>
          <w:sz w:val="18"/>
          <w:szCs w:val="18"/>
        </w:rPr>
        <w:t xml:space="preserve">vodja </w:t>
      </w:r>
      <w:r w:rsidR="0090162A" w:rsidRPr="0090162A">
        <w:rPr>
          <w:rFonts w:ascii="Tahoma" w:hAnsi="Tahoma" w:cs="Tahoma"/>
          <w:sz w:val="18"/>
          <w:szCs w:val="18"/>
        </w:rPr>
        <w:t>laboratorija</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 xml:space="preserve">.000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w:t>
      </w:r>
      <w:r w:rsidRPr="00417330">
        <w:rPr>
          <w:rFonts w:ascii="Tahoma" w:hAnsi="Tahoma" w:cs="Tahoma"/>
          <w:sz w:val="18"/>
          <w:szCs w:val="18"/>
          <w:lang w:val="sl-SI"/>
        </w:rPr>
        <w:lastRenderedPageBreak/>
        <w:t>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3" w:name="_Hlk485114908"/>
      <w:bookmarkEnd w:id="13"/>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69CD155E" w:rsidR="00A00472" w:rsidRPr="00417330" w:rsidRDefault="00110A3C" w:rsidP="00804295">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5"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
          </w:p>
        </w:tc>
      </w:tr>
      <w:tr w:rsidR="00A00472" w:rsidRPr="00417330" w14:paraId="16C2473B" w14:textId="77777777" w:rsidTr="005B65A9">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5B65A9" w:rsidRPr="00417330" w14:paraId="2B17E45A"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Neaktivnosti prodajalca ob posameznih povpraševanjih (če se prodajalec zaporedoma vsaj dvakrat ne odzove na povpraševanje naročnika).</w:t>
            </w:r>
          </w:p>
        </w:tc>
        <w:tc>
          <w:tcPr>
            <w:tcW w:w="4598" w:type="dxa"/>
            <w:vMerge w:val="restart"/>
            <w:tcBorders>
              <w:top w:val="single" w:sz="4" w:space="0" w:color="000000"/>
              <w:left w:val="single" w:sz="4" w:space="0" w:color="000000"/>
              <w:right w:val="single" w:sz="4" w:space="0" w:color="000000"/>
            </w:tcBorders>
            <w:shd w:val="clear" w:color="auto" w:fill="FFFFFF" w:themeFill="background1"/>
            <w:vAlign w:val="center"/>
          </w:tcPr>
          <w:p w14:paraId="0118AFAB" w14:textId="3B218B97" w:rsidR="005B65A9" w:rsidRPr="00417330" w:rsidRDefault="005B65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2, 3, 4, 5, 6, 7, 8, 9 in 11</w:t>
            </w:r>
            <w:r w:rsidRPr="00417330">
              <w:rPr>
                <w:rFonts w:ascii="Tahoma" w:hAnsi="Tahoma" w:cs="Tahoma"/>
                <w:sz w:val="18"/>
                <w:szCs w:val="18"/>
                <w:lang w:val="sl-SI"/>
              </w:rPr>
              <w:t>) Z dnem, ko prodajalec prejme obvestilo o odpovedi okvirnega sporazuma.</w:t>
            </w:r>
          </w:p>
        </w:tc>
      </w:tr>
      <w:tr w:rsidR="005B65A9" w:rsidRPr="00417330" w14:paraId="34AF1AB1"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left w:val="single" w:sz="4" w:space="0" w:color="000000"/>
              <w:right w:val="single" w:sz="4" w:space="0" w:color="000000"/>
            </w:tcBorders>
            <w:shd w:val="clear" w:color="auto" w:fill="FFFFFF" w:themeFill="background1"/>
            <w:vAlign w:val="center"/>
          </w:tcPr>
          <w:p w14:paraId="6DBE32C8"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31377794"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Zamuda prodajalca ali napake pri dobavi, ki bistveno zmanjšajo pomen posla.</w:t>
            </w:r>
          </w:p>
        </w:tc>
        <w:tc>
          <w:tcPr>
            <w:tcW w:w="4598" w:type="dxa"/>
            <w:vMerge/>
            <w:tcBorders>
              <w:left w:val="single" w:sz="4" w:space="0" w:color="000000"/>
              <w:right w:val="single" w:sz="4" w:space="0" w:color="000000"/>
            </w:tcBorders>
            <w:shd w:val="clear" w:color="auto" w:fill="FFFFFF" w:themeFill="background1"/>
            <w:vAlign w:val="center"/>
          </w:tcPr>
          <w:p w14:paraId="5A420144"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3282E4B5"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dobavi nekvalitetno blago in ga na zahtevo naročnika ne zamenja.</w:t>
            </w:r>
          </w:p>
        </w:tc>
        <w:tc>
          <w:tcPr>
            <w:tcW w:w="4598" w:type="dxa"/>
            <w:vMerge/>
            <w:tcBorders>
              <w:left w:val="single" w:sz="4" w:space="0" w:color="000000"/>
              <w:right w:val="single" w:sz="4" w:space="0" w:color="000000"/>
            </w:tcBorders>
            <w:shd w:val="clear" w:color="auto" w:fill="FFFFFF" w:themeFill="background1"/>
            <w:vAlign w:val="center"/>
          </w:tcPr>
          <w:p w14:paraId="0857FC9E"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70ECB5DF"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left w:val="single" w:sz="4" w:space="0" w:color="000000"/>
              <w:right w:val="single" w:sz="4" w:space="0" w:color="000000"/>
            </w:tcBorders>
            <w:shd w:val="clear" w:color="auto" w:fill="FFFFFF" w:themeFill="background1"/>
            <w:vAlign w:val="center"/>
          </w:tcPr>
          <w:p w14:paraId="4EA6D2AA"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23A2190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Dosežek maksimalne višine pogodbene kazni</w:t>
            </w:r>
          </w:p>
        </w:tc>
        <w:tc>
          <w:tcPr>
            <w:tcW w:w="4598" w:type="dxa"/>
            <w:vMerge/>
            <w:tcBorders>
              <w:left w:val="single" w:sz="4" w:space="0" w:color="000000"/>
              <w:right w:val="single" w:sz="4" w:space="0" w:color="000000"/>
            </w:tcBorders>
            <w:shd w:val="clear" w:color="auto" w:fill="FFFFFF" w:themeFill="background1"/>
            <w:vAlign w:val="center"/>
          </w:tcPr>
          <w:p w14:paraId="533B43BA"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12FC9CF9"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left w:val="single" w:sz="4" w:space="0" w:color="000000"/>
              <w:right w:val="single" w:sz="4" w:space="0" w:color="000000"/>
            </w:tcBorders>
            <w:shd w:val="clear" w:color="auto" w:fill="FFFFFF" w:themeFill="background1"/>
            <w:vAlign w:val="center"/>
          </w:tcPr>
          <w:p w14:paraId="4B2985BE"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50DB4443"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left w:val="single" w:sz="4" w:space="0" w:color="000000"/>
              <w:right w:val="single" w:sz="4" w:space="0" w:color="000000"/>
            </w:tcBorders>
            <w:shd w:val="clear" w:color="auto" w:fill="FFFFFF" w:themeFill="background1"/>
            <w:vAlign w:val="center"/>
          </w:tcPr>
          <w:p w14:paraId="34C05074"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02CDF5A1"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ne izpolnjuje pogodbenih obveznosti na način, predviden v pogodbi o izvedbi javnega naročila</w:t>
            </w:r>
          </w:p>
        </w:tc>
        <w:tc>
          <w:tcPr>
            <w:tcW w:w="4598" w:type="dxa"/>
            <w:vMerge/>
            <w:tcBorders>
              <w:left w:val="single" w:sz="4" w:space="0" w:color="000000"/>
              <w:right w:val="single" w:sz="4" w:space="0" w:color="000000"/>
            </w:tcBorders>
            <w:shd w:val="clear" w:color="auto" w:fill="FFFFFF" w:themeFill="background1"/>
            <w:vAlign w:val="center"/>
          </w:tcPr>
          <w:p w14:paraId="7433D060"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36491103"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E7335" w14:textId="3DDAAFA8"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 xml:space="preserve">V primeru če naročnik izvede prenovo področja imunokemije, ki je predvidena v letu 2021 in ne bo več potreboval vseh ali nekaterih reagentov iz sklopov 4 in/ali, 5 in/ali, 6 in/ali 7. </w:t>
            </w:r>
          </w:p>
        </w:tc>
        <w:tc>
          <w:tcPr>
            <w:tcW w:w="4598" w:type="dxa"/>
            <w:vMerge/>
            <w:tcBorders>
              <w:left w:val="single" w:sz="4" w:space="0" w:color="000000"/>
              <w:bottom w:val="single" w:sz="4" w:space="0" w:color="000000"/>
              <w:right w:val="single" w:sz="4" w:space="0" w:color="000000"/>
            </w:tcBorders>
            <w:shd w:val="clear" w:color="auto" w:fill="FFFFFF" w:themeFill="background1"/>
            <w:vAlign w:val="center"/>
          </w:tcPr>
          <w:p w14:paraId="4996B921" w14:textId="7250A29F" w:rsidR="005B65A9" w:rsidRPr="005B65A9" w:rsidRDefault="005B65A9" w:rsidP="005B65A9">
            <w:pPr>
              <w:keepLines/>
              <w:widowControl w:val="0"/>
              <w:spacing w:after="0" w:line="240" w:lineRule="auto"/>
              <w:jc w:val="both"/>
              <w:rPr>
                <w:rFonts w:ascii="Tahoma" w:hAnsi="Tahoma" w:cs="Tahoma"/>
                <w:sz w:val="18"/>
                <w:szCs w:val="18"/>
                <w:lang w:val="sl-SI"/>
              </w:rPr>
            </w:pPr>
          </w:p>
        </w:tc>
      </w:tr>
      <w:tr w:rsidR="00A00472" w:rsidRPr="00417330" w14:paraId="71FFC2C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0" w:name="Text182"/>
        <w:bookmarkEnd w:id="2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8E5C25">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8E5C25">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72E03"/>
    <w:rsid w:val="005B65A9"/>
    <w:rsid w:val="005C0ABA"/>
    <w:rsid w:val="00632E64"/>
    <w:rsid w:val="00682256"/>
    <w:rsid w:val="007509FE"/>
    <w:rsid w:val="00787D0D"/>
    <w:rsid w:val="007A746D"/>
    <w:rsid w:val="007E7421"/>
    <w:rsid w:val="007F7C67"/>
    <w:rsid w:val="00804295"/>
    <w:rsid w:val="00804B28"/>
    <w:rsid w:val="008D619C"/>
    <w:rsid w:val="008E21F7"/>
    <w:rsid w:val="008E5C25"/>
    <w:rsid w:val="0090162A"/>
    <w:rsid w:val="009219BF"/>
    <w:rsid w:val="00964983"/>
    <w:rsid w:val="0097503C"/>
    <w:rsid w:val="009C2EAA"/>
    <w:rsid w:val="00A00472"/>
    <w:rsid w:val="00A627C3"/>
    <w:rsid w:val="00AC4DA5"/>
    <w:rsid w:val="00AD3ECE"/>
    <w:rsid w:val="00B32699"/>
    <w:rsid w:val="00D4308D"/>
    <w:rsid w:val="00D57C7F"/>
    <w:rsid w:val="00DF5A0E"/>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7D9707-CA7D-4337-8C8C-9C1BAEE3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3471</Words>
  <Characters>19790</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35</cp:revision>
  <cp:lastPrinted>2020-11-30T13:01:00Z</cp:lastPrinted>
  <dcterms:created xsi:type="dcterms:W3CDTF">2020-05-06T10:55:00Z</dcterms:created>
  <dcterms:modified xsi:type="dcterms:W3CDTF">2020-12-04T13:31:00Z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