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:rsidR="005D28B6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2A12DD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A16303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2A12DD" w:rsidRDefault="000C630C" w:rsidP="00843CCF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  <w:r w:rsidR="00992BD4">
              <w:rPr>
                <w:rFonts w:ascii="Verdana" w:hAnsi="Verdana"/>
                <w:sz w:val="20"/>
                <w:szCs w:val="28"/>
                <w:lang w:val="sl-SI"/>
              </w:rPr>
              <w:t>260-9</w:t>
            </w:r>
            <w:r w:rsidR="00EE71D4">
              <w:rPr>
                <w:rFonts w:ascii="Verdana" w:hAnsi="Verdana"/>
                <w:sz w:val="20"/>
                <w:szCs w:val="28"/>
                <w:lang w:val="sl-SI"/>
              </w:rPr>
              <w:t>/2019</w:t>
            </w:r>
          </w:p>
        </w:tc>
      </w:tr>
      <w:tr w:rsidR="005D28B6" w:rsidRPr="002A12DD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A3245F" w:rsidRDefault="00783449" w:rsidP="00DB506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</w:rPr>
              <w:t>CT injektor kontrasta</w:t>
            </w:r>
          </w:p>
        </w:tc>
      </w:tr>
    </w:tbl>
    <w:p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92849" w:rsidRPr="00745658" w:rsidRDefault="00AE7853" w:rsidP="00745658">
      <w:pPr>
        <w:pStyle w:val="Odstavekseznama"/>
        <w:numPr>
          <w:ilvl w:val="0"/>
          <w:numId w:val="11"/>
        </w:num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745658">
        <w:rPr>
          <w:rFonts w:ascii="Verdana" w:hAnsi="Verdana"/>
          <w:b/>
          <w:lang w:val="sl-SI"/>
        </w:rPr>
        <w:t>VRSTA, LASTNOSTI, KAKOVOST IN IZGLED PREDMETA JAVNEGA NAROČILA/PONUDBE</w:t>
      </w:r>
    </w:p>
    <w:p w:rsidR="00CD0F97" w:rsidRDefault="00CD0F97" w:rsidP="00745658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654"/>
        <w:gridCol w:w="845"/>
        <w:gridCol w:w="1719"/>
        <w:gridCol w:w="2092"/>
      </w:tblGrid>
      <w:tr w:rsidR="00FD3864" w:rsidRPr="00DF15B1" w:rsidTr="000540E1">
        <w:trPr>
          <w:trHeight w:val="300"/>
        </w:trPr>
        <w:tc>
          <w:tcPr>
            <w:tcW w:w="9855" w:type="dxa"/>
            <w:gridSpan w:val="5"/>
            <w:shd w:val="clear" w:color="auto" w:fill="FFC000"/>
            <w:noWrap/>
          </w:tcPr>
          <w:p w:rsidR="00FD3864" w:rsidRPr="00DF15B1" w:rsidRDefault="00174901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74901">
              <w:rPr>
                <w:rFonts w:ascii="Tahoma" w:hAnsi="Tahoma" w:cs="Tahoma"/>
                <w:b/>
                <w:sz w:val="18"/>
                <w:szCs w:val="18"/>
              </w:rPr>
              <w:t>CT injektor kontrasta</w:t>
            </w:r>
            <w:r w:rsidR="00FD3864">
              <w:rPr>
                <w:rFonts w:ascii="Tahoma" w:hAnsi="Tahoma" w:cs="Tahoma"/>
                <w:b/>
                <w:sz w:val="18"/>
                <w:szCs w:val="18"/>
              </w:rPr>
              <w:t xml:space="preserve"> – TEHNIČNE ZAHTEVE</w:t>
            </w: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54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DF15B1">
              <w:rPr>
                <w:rFonts w:ascii="Tahoma" w:hAnsi="Tahoma" w:cs="Tahoma"/>
                <w:b/>
                <w:sz w:val="18"/>
                <w:szCs w:val="18"/>
              </w:rPr>
              <w:t>BISTVENE ZAHTEVE</w:t>
            </w:r>
          </w:p>
        </w:tc>
        <w:tc>
          <w:tcPr>
            <w:tcW w:w="4656" w:type="dxa"/>
            <w:gridSpan w:val="3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B1">
              <w:rPr>
                <w:rFonts w:ascii="Tahoma" w:hAnsi="Tahoma" w:cs="Tahoma"/>
                <w:b/>
                <w:sz w:val="18"/>
                <w:szCs w:val="18"/>
              </w:rPr>
              <w:t>IZPOLNI PONUDNIK</w:t>
            </w:r>
          </w:p>
        </w:tc>
      </w:tr>
      <w:tr w:rsidR="00CD0F97" w:rsidRPr="00DF15B1" w:rsidTr="00CB0833">
        <w:trPr>
          <w:trHeight w:val="585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zap. št.</w:t>
            </w:r>
          </w:p>
        </w:tc>
        <w:tc>
          <w:tcPr>
            <w:tcW w:w="4654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TEHNIČNE ZAHTEVE</w:t>
            </w:r>
            <w:r w:rsidRPr="00DF15B1">
              <w:rPr>
                <w:rFonts w:ascii="Tahoma" w:hAnsi="Tahoma" w:cs="Tahoma"/>
                <w:b/>
                <w:sz w:val="18"/>
                <w:szCs w:val="18"/>
              </w:rPr>
              <w:t xml:space="preserve"> NAROČNIKA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F15B1">
              <w:rPr>
                <w:rFonts w:ascii="Tahoma" w:hAnsi="Tahoma" w:cs="Tahoma"/>
                <w:b/>
                <w:sz w:val="18"/>
                <w:szCs w:val="18"/>
              </w:rPr>
              <w:t>DA/NE</w:t>
            </w:r>
          </w:p>
        </w:tc>
        <w:tc>
          <w:tcPr>
            <w:tcW w:w="1719" w:type="dxa"/>
            <w:shd w:val="clear" w:color="auto" w:fill="auto"/>
            <w:hideMark/>
          </w:tcPr>
          <w:p w:rsidR="00CD0F97" w:rsidRPr="00DF15B1" w:rsidRDefault="00783449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Stran v dokumentaciji, kjer je razvidno izpolnjevanje pogoja</w:t>
            </w:r>
          </w:p>
        </w:tc>
        <w:tc>
          <w:tcPr>
            <w:tcW w:w="2092" w:type="dxa"/>
            <w:shd w:val="clear" w:color="auto" w:fill="auto"/>
            <w:hideMark/>
          </w:tcPr>
          <w:p w:rsidR="00CD0F97" w:rsidRPr="00DF15B1" w:rsidRDefault="00783449" w:rsidP="004D268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OPOMBA PONUDNIKA</w:t>
            </w: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174901" w:rsidP="0078344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206706">
              <w:rPr>
                <w:rFonts w:ascii="Verdana" w:hAnsi="Verdana" w:cs="Tahoma"/>
                <w:sz w:val="20"/>
                <w:szCs w:val="20"/>
              </w:rPr>
              <w:t>Visokotlačni CT</w:t>
            </w:r>
            <w:r w:rsidR="00847091" w:rsidRPr="00206706">
              <w:rPr>
                <w:rFonts w:ascii="Verdana" w:hAnsi="Verdana" w:cs="Tahoma"/>
                <w:sz w:val="20"/>
                <w:szCs w:val="20"/>
              </w:rPr>
              <w:t xml:space="preserve"> injek</w:t>
            </w:r>
            <w:r w:rsidRPr="00206706">
              <w:rPr>
                <w:rFonts w:ascii="Verdana" w:hAnsi="Verdana" w:cs="Tahoma"/>
                <w:sz w:val="20"/>
                <w:szCs w:val="20"/>
              </w:rPr>
              <w:t>tor, ki omogoča injiciranje kontrastnega sredstva in fiziološke razstopine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174901" w:rsidP="003B4A48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  <w:r w:rsidRPr="00206706">
              <w:rPr>
                <w:rFonts w:ascii="Verdana" w:hAnsi="Verdana"/>
                <w:sz w:val="20"/>
                <w:szCs w:val="20"/>
              </w:rPr>
              <w:t>Možnost nastavitve omejitve pritiska do vsaj 325 PSI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174901" w:rsidP="00847091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  <w:r w:rsidRPr="00206706">
              <w:rPr>
                <w:rFonts w:ascii="Verdana" w:hAnsi="Verdana"/>
                <w:sz w:val="20"/>
                <w:szCs w:val="20"/>
              </w:rPr>
              <w:t>Simultano injic</w:t>
            </w:r>
            <w:r w:rsidR="00847091" w:rsidRPr="00206706">
              <w:rPr>
                <w:rFonts w:ascii="Verdana" w:hAnsi="Verdana"/>
                <w:sz w:val="20"/>
                <w:szCs w:val="20"/>
              </w:rPr>
              <w:t xml:space="preserve">iranje kontrastnega sredstva in </w:t>
            </w:r>
            <w:r w:rsidRPr="00206706">
              <w:rPr>
                <w:rFonts w:ascii="Verdana" w:hAnsi="Verdana"/>
                <w:sz w:val="20"/>
                <w:szCs w:val="20"/>
              </w:rPr>
              <w:t>fiziološke razstopine v različnih razmerjih, ki jih določi uporabnik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F97" w:rsidRPr="00DF15B1" w:rsidTr="00CB0833">
        <w:trPr>
          <w:trHeight w:val="30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174901" w:rsidP="00783449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206706">
              <w:rPr>
                <w:rFonts w:ascii="Verdana" w:hAnsi="Verdana" w:cs="Tahoma"/>
                <w:sz w:val="20"/>
                <w:szCs w:val="20"/>
              </w:rPr>
              <w:t>Možnost nastavitve vsaj</w:t>
            </w:r>
            <w:r w:rsidR="000C3C89" w:rsidRPr="00206706">
              <w:rPr>
                <w:rFonts w:ascii="Verdana" w:hAnsi="Verdana" w:cs="Tahoma"/>
                <w:sz w:val="20"/>
                <w:szCs w:val="20"/>
              </w:rPr>
              <w:t xml:space="preserve"> 5 faz injiciranja z ločeno funkcijo testiranja mesta injiciranja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0F97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  <w:hideMark/>
          </w:tcPr>
          <w:p w:rsidR="00CD0F97" w:rsidRPr="00DF15B1" w:rsidRDefault="00CD0F97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F15B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54" w:type="dxa"/>
            <w:shd w:val="clear" w:color="auto" w:fill="auto"/>
            <w:hideMark/>
          </w:tcPr>
          <w:p w:rsidR="00CD0F97" w:rsidRPr="00206706" w:rsidRDefault="00091808" w:rsidP="004D268C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8A630B">
              <w:rPr>
                <w:rFonts w:ascii="Verdana" w:hAnsi="Verdana" w:cs="Tahoma"/>
                <w:sz w:val="20"/>
                <w:szCs w:val="20"/>
              </w:rPr>
              <w:t>Stropni nosilec z montažo</w:t>
            </w:r>
            <w:r w:rsidR="00CB0833" w:rsidRPr="008A630B">
              <w:rPr>
                <w:rFonts w:ascii="Verdana" w:hAnsi="Verdana" w:cs="Tahoma"/>
                <w:sz w:val="20"/>
                <w:szCs w:val="20"/>
              </w:rPr>
              <w:t xml:space="preserve"> injektorja</w:t>
            </w:r>
            <w:r w:rsidRPr="008A630B">
              <w:rPr>
                <w:rFonts w:ascii="Verdana" w:hAnsi="Verdana" w:cs="Tahoma"/>
                <w:sz w:val="20"/>
                <w:szCs w:val="20"/>
              </w:rPr>
              <w:t xml:space="preserve"> na nosilec.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B0833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  <w:tc>
          <w:tcPr>
            <w:tcW w:w="845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  <w:hideMark/>
          </w:tcPr>
          <w:p w:rsidR="00CD0F97" w:rsidRPr="00DF15B1" w:rsidRDefault="00CD0F97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1D4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EE71D4" w:rsidRPr="00DF15B1" w:rsidRDefault="00EE71D4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54" w:type="dxa"/>
            <w:shd w:val="clear" w:color="auto" w:fill="auto"/>
          </w:tcPr>
          <w:p w:rsidR="00EE71D4" w:rsidRPr="00206706" w:rsidRDefault="00847091" w:rsidP="00206706">
            <w:pPr>
              <w:pStyle w:val="Brezrazmikov"/>
              <w:rPr>
                <w:rFonts w:ascii="Verdana" w:hAnsi="Verdana"/>
                <w:sz w:val="20"/>
                <w:szCs w:val="20"/>
                <w:lang w:val="sl-SI" w:eastAsia="sl-SI"/>
              </w:rPr>
            </w:pPr>
            <w:r w:rsidRPr="00206706">
              <w:rPr>
                <w:rFonts w:ascii="Verdana" w:hAnsi="Verdana"/>
                <w:sz w:val="20"/>
                <w:szCs w:val="20"/>
                <w:lang w:val="sl-SI" w:eastAsia="sl-SI"/>
              </w:rPr>
              <w:t>Linija za enkratno uporabo dolžine vsaj 250 cm in opremljena z dvema nepovratnima ventiloma</w:t>
            </w:r>
          </w:p>
        </w:tc>
        <w:tc>
          <w:tcPr>
            <w:tcW w:w="845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1D4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EE71D4" w:rsidRPr="00DF15B1" w:rsidRDefault="003B4A48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654" w:type="dxa"/>
            <w:shd w:val="clear" w:color="auto" w:fill="auto"/>
          </w:tcPr>
          <w:p w:rsidR="00EE71D4" w:rsidRPr="00EE71D4" w:rsidRDefault="00847091" w:rsidP="004D268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Avtomatsko polnjenje brizg in spiranje sistema.</w:t>
            </w:r>
          </w:p>
        </w:tc>
        <w:tc>
          <w:tcPr>
            <w:tcW w:w="845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E71D4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EE71D4" w:rsidRDefault="00EE71D4" w:rsidP="003B4A48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54" w:type="dxa"/>
            <w:shd w:val="clear" w:color="auto" w:fill="auto"/>
          </w:tcPr>
          <w:p w:rsidR="00EE71D4" w:rsidRPr="00EE71D4" w:rsidRDefault="003B4A48" w:rsidP="004D268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Volum</w:t>
            </w:r>
            <w:r w:rsidR="00847091"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ska kapaciteta brizg vsaj 200 ml</w:t>
            </w:r>
          </w:p>
        </w:tc>
        <w:tc>
          <w:tcPr>
            <w:tcW w:w="845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EE71D4" w:rsidRPr="00DF15B1" w:rsidRDefault="00EE71D4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40E1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0540E1" w:rsidRDefault="000540E1" w:rsidP="0064115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54" w:type="dxa"/>
            <w:shd w:val="clear" w:color="auto" w:fill="auto"/>
          </w:tcPr>
          <w:p w:rsidR="000540E1" w:rsidRPr="00EE71D4" w:rsidRDefault="000540E1" w:rsidP="004D268C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Pretoki od 0,1 do 10 ml/s</w:t>
            </w:r>
          </w:p>
        </w:tc>
        <w:tc>
          <w:tcPr>
            <w:tcW w:w="845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40E1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0540E1" w:rsidRDefault="000540E1" w:rsidP="0064115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654" w:type="dxa"/>
            <w:shd w:val="clear" w:color="auto" w:fill="auto"/>
          </w:tcPr>
          <w:p w:rsidR="000540E1" w:rsidRPr="00EE71D4" w:rsidRDefault="000540E1" w:rsidP="0064115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Uvoz podatkov o bolnikih iz bolnišničnega informacijskega sistema ter izvoz v PACS in RIS</w:t>
            </w:r>
          </w:p>
        </w:tc>
        <w:tc>
          <w:tcPr>
            <w:tcW w:w="845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0540E1" w:rsidRDefault="000540E1" w:rsidP="004D268C">
            <w:pPr>
              <w:spacing w:after="0"/>
              <w:rPr>
                <w:rStyle w:val="Pripombasklic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40E1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0540E1" w:rsidRDefault="000540E1" w:rsidP="0064115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654" w:type="dxa"/>
            <w:shd w:val="clear" w:color="auto" w:fill="auto"/>
          </w:tcPr>
          <w:p w:rsidR="000540E1" w:rsidRDefault="00CB0833" w:rsidP="0064115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 w:rsidRPr="00CB0833"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 xml:space="preserve">Modul za komunikacijo in sinhronizacijo injektorja kontrasta s CT aparatom  </w:t>
            </w:r>
            <w:r w:rsidR="003738CB"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Siemens Somatom Drive</w:t>
            </w:r>
            <w:r w:rsidRPr="00CB0833"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(za sprožitev CT-ja in injektorja sinhrono z eno tipko na CT-ju ali injektorju)</w:t>
            </w:r>
          </w:p>
        </w:tc>
        <w:tc>
          <w:tcPr>
            <w:tcW w:w="845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0540E1" w:rsidRDefault="000540E1" w:rsidP="004D268C">
            <w:pPr>
              <w:spacing w:after="0"/>
              <w:rPr>
                <w:rStyle w:val="Pripombasklic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40E1" w:rsidRPr="00DF15B1" w:rsidTr="00CB0833">
        <w:trPr>
          <w:trHeight w:val="570"/>
        </w:trPr>
        <w:tc>
          <w:tcPr>
            <w:tcW w:w="545" w:type="dxa"/>
            <w:shd w:val="clear" w:color="auto" w:fill="auto"/>
            <w:noWrap/>
          </w:tcPr>
          <w:p w:rsidR="000540E1" w:rsidRDefault="000540E1" w:rsidP="00641156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12</w:t>
            </w:r>
          </w:p>
        </w:tc>
        <w:tc>
          <w:tcPr>
            <w:tcW w:w="4654" w:type="dxa"/>
            <w:shd w:val="clear" w:color="auto" w:fill="auto"/>
          </w:tcPr>
          <w:p w:rsidR="000540E1" w:rsidRDefault="000540E1" w:rsidP="00641156">
            <w:pPr>
              <w:spacing w:after="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sl-SI" w:eastAsia="sl-SI"/>
              </w:rPr>
              <w:t>Oddaljen servisni dostop</w:t>
            </w:r>
          </w:p>
        </w:tc>
        <w:tc>
          <w:tcPr>
            <w:tcW w:w="845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19" w:type="dxa"/>
            <w:shd w:val="clear" w:color="auto" w:fill="auto"/>
            <w:noWrap/>
          </w:tcPr>
          <w:p w:rsidR="000540E1" w:rsidRDefault="000540E1" w:rsidP="004D268C">
            <w:pPr>
              <w:spacing w:after="0"/>
              <w:rPr>
                <w:rStyle w:val="Pripombasklic"/>
              </w:rPr>
            </w:pPr>
          </w:p>
        </w:tc>
        <w:tc>
          <w:tcPr>
            <w:tcW w:w="2092" w:type="dxa"/>
            <w:shd w:val="clear" w:color="auto" w:fill="auto"/>
            <w:noWrap/>
          </w:tcPr>
          <w:p w:rsidR="000540E1" w:rsidRPr="00DF15B1" w:rsidRDefault="000540E1" w:rsidP="004D268C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763A6" w:rsidRDefault="00C763A6" w:rsidP="00745658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3564A9" w:rsidRPr="002A12DD" w:rsidTr="00593CB4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3564A9" w:rsidRPr="002A12DD" w:rsidRDefault="003564A9" w:rsidP="00593CB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3564A9" w:rsidRPr="002A12DD" w:rsidTr="00593CB4">
        <w:trPr>
          <w:trHeight w:val="20"/>
          <w:jc w:val="center"/>
        </w:trPr>
        <w:tc>
          <w:tcPr>
            <w:tcW w:w="9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206706" w:rsidRPr="00C4085F" w:rsidRDefault="004C61C9" w:rsidP="00C4085F">
            <w:pPr>
              <w:pStyle w:val="Odstavekseznama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Ponujeni i</w:t>
            </w:r>
            <w:r w:rsidR="00B03713">
              <w:rPr>
                <w:rFonts w:ascii="Verdana" w:hAnsi="Verdana"/>
                <w:sz w:val="20"/>
                <w:szCs w:val="20"/>
              </w:rPr>
              <w:t>njektor kontrastnega sredstva</w:t>
            </w:r>
            <w:r w:rsidR="005A11EC" w:rsidRPr="00C4085F">
              <w:rPr>
                <w:rFonts w:ascii="Verdana" w:hAnsi="Verdana"/>
                <w:sz w:val="20"/>
                <w:szCs w:val="20"/>
              </w:rPr>
              <w:t xml:space="preserve"> mora biti </w:t>
            </w:r>
            <w:proofErr w:type="gramStart"/>
            <w:r w:rsidR="005A11EC" w:rsidRPr="00C4085F">
              <w:rPr>
                <w:rFonts w:ascii="Verdana" w:hAnsi="Verdana"/>
                <w:sz w:val="20"/>
                <w:szCs w:val="20"/>
              </w:rPr>
              <w:t>nov</w:t>
            </w:r>
            <w:proofErr w:type="gramEnd"/>
            <w:r w:rsidR="005A11EC" w:rsidRPr="00C4085F">
              <w:rPr>
                <w:rFonts w:ascii="Verdana" w:hAnsi="Verdana"/>
                <w:sz w:val="20"/>
                <w:szCs w:val="20"/>
              </w:rPr>
              <w:t>.</w:t>
            </w:r>
          </w:p>
          <w:p w:rsidR="00206706" w:rsidRPr="008A2F18" w:rsidRDefault="005A11EC" w:rsidP="00C4085F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 w:rsidRPr="008A2F18">
              <w:rPr>
                <w:rFonts w:ascii="Verdana" w:hAnsi="Verdana"/>
                <w:sz w:val="20"/>
                <w:szCs w:val="20"/>
              </w:rPr>
              <w:t>Po</w:t>
            </w:r>
            <w:r w:rsidR="00B03713">
              <w:rPr>
                <w:rFonts w:ascii="Verdana" w:hAnsi="Verdana"/>
                <w:sz w:val="20"/>
                <w:szCs w:val="20"/>
              </w:rPr>
              <w:t>nujeni injektor</w:t>
            </w:r>
            <w:r w:rsidRPr="008A2F18">
              <w:rPr>
                <w:rFonts w:ascii="Verdana" w:hAnsi="Verdana"/>
                <w:sz w:val="20"/>
                <w:szCs w:val="20"/>
              </w:rPr>
              <w:t xml:space="preserve"> mora ustrezati predpisom varstva pri delu ter standardom in normativom, </w:t>
            </w:r>
            <w:r w:rsidR="008A2F18">
              <w:rPr>
                <w:rFonts w:ascii="Verdana" w:hAnsi="Verdana"/>
                <w:sz w:val="20"/>
                <w:szCs w:val="20"/>
              </w:rPr>
              <w:t xml:space="preserve">ki jih </w:t>
            </w:r>
            <w:r w:rsidRPr="008A2F18">
              <w:rPr>
                <w:rFonts w:ascii="Verdana" w:hAnsi="Verdana"/>
                <w:sz w:val="20"/>
                <w:szCs w:val="20"/>
              </w:rPr>
              <w:t>narekujejo</w:t>
            </w:r>
            <w:r w:rsidR="008A2F18" w:rsidRPr="008A2F1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A2F18">
              <w:rPr>
                <w:rFonts w:ascii="Verdana" w:hAnsi="Verdana"/>
                <w:sz w:val="20"/>
                <w:szCs w:val="20"/>
              </w:rPr>
              <w:t xml:space="preserve">predpisi </w:t>
            </w:r>
            <w:r w:rsidR="008A2F18">
              <w:rPr>
                <w:rFonts w:ascii="Verdana" w:hAnsi="Verdana"/>
                <w:sz w:val="20"/>
                <w:szCs w:val="20"/>
              </w:rPr>
              <w:t xml:space="preserve">Republike </w:t>
            </w:r>
            <w:r w:rsidRPr="008A2F18">
              <w:rPr>
                <w:rFonts w:ascii="Verdana" w:hAnsi="Verdana"/>
                <w:sz w:val="20"/>
                <w:szCs w:val="20"/>
              </w:rPr>
              <w:t>Slovenije</w:t>
            </w:r>
            <w:r w:rsidR="008A2F1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A2F18" w:rsidRPr="008A2F18">
              <w:rPr>
                <w:rFonts w:ascii="Verdana" w:hAnsi="Verdana"/>
                <w:sz w:val="20"/>
                <w:szCs w:val="20"/>
              </w:rPr>
              <w:t xml:space="preserve">in </w:t>
            </w:r>
            <w:r w:rsidRPr="008A2F18">
              <w:rPr>
                <w:rFonts w:ascii="Verdana" w:hAnsi="Verdana"/>
                <w:sz w:val="20"/>
                <w:szCs w:val="20"/>
              </w:rPr>
              <w:t>EU.</w:t>
            </w:r>
          </w:p>
          <w:p w:rsidR="005A11EC" w:rsidRPr="008A2F18" w:rsidRDefault="005A11EC" w:rsidP="005A11EC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</w:p>
          <w:p w:rsidR="00C4085F" w:rsidRPr="008A630B" w:rsidRDefault="008A2F18" w:rsidP="00C4085F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 w:rsidRPr="008A630B">
              <w:rPr>
                <w:rFonts w:ascii="Verdana" w:hAnsi="Verdana"/>
                <w:sz w:val="20"/>
                <w:szCs w:val="20"/>
              </w:rPr>
              <w:t>V ceno mora biti vključena dobava, inštalacija</w:t>
            </w:r>
            <w:r w:rsidR="00091808" w:rsidRPr="008A630B">
              <w:rPr>
                <w:rFonts w:ascii="Verdana" w:hAnsi="Verdana"/>
                <w:sz w:val="20"/>
                <w:szCs w:val="20"/>
              </w:rPr>
              <w:t xml:space="preserve"> nosilne roke</w:t>
            </w:r>
            <w:r w:rsidR="00EB6CDB">
              <w:rPr>
                <w:rFonts w:ascii="Verdana" w:hAnsi="Verdana"/>
                <w:sz w:val="20"/>
                <w:szCs w:val="20"/>
              </w:rPr>
              <w:t xml:space="preserve"> (Dimenzije roke morajo ustrezati tehnologiji CT aparata Siemens Somatom Drive)</w:t>
            </w:r>
            <w:bookmarkStart w:id="0" w:name="_GoBack"/>
            <w:bookmarkEnd w:id="0"/>
            <w:r w:rsidR="00091808" w:rsidRPr="008A630B">
              <w:rPr>
                <w:rFonts w:ascii="Verdana" w:hAnsi="Verdana"/>
                <w:sz w:val="20"/>
                <w:szCs w:val="20"/>
              </w:rPr>
              <w:t xml:space="preserve"> in injektorja</w:t>
            </w:r>
            <w:r w:rsidRPr="008A630B">
              <w:rPr>
                <w:rFonts w:ascii="Verdana" w:hAnsi="Verdana"/>
                <w:sz w:val="20"/>
                <w:szCs w:val="20"/>
              </w:rPr>
              <w:t xml:space="preserve"> in zagon </w:t>
            </w:r>
            <w:r w:rsidR="00B03713" w:rsidRPr="008A630B">
              <w:rPr>
                <w:rFonts w:ascii="Verdana" w:hAnsi="Verdana"/>
                <w:sz w:val="20"/>
                <w:szCs w:val="20"/>
              </w:rPr>
              <w:t>injektorja</w:t>
            </w:r>
            <w:r w:rsidR="007B23C4" w:rsidRPr="008A630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7B23C4" w:rsidRPr="008A630B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="007B23C4" w:rsidRPr="008A630B">
              <w:rPr>
                <w:rFonts w:ascii="Verdana" w:hAnsi="Verdana"/>
                <w:sz w:val="20"/>
                <w:szCs w:val="20"/>
              </w:rPr>
              <w:t xml:space="preserve"> lokaciji naročnika</w:t>
            </w:r>
            <w:r w:rsidR="00091808" w:rsidRPr="008A630B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C4085F" w:rsidRDefault="00C4085F" w:rsidP="00C4085F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</w:p>
          <w:p w:rsidR="005A11EC" w:rsidRDefault="00C4085F" w:rsidP="00C4085F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Izbrani ponudnik mora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lastne stroške poskrbeti za odvoz transportne in ostale embalaže ter vsega odvečnega materiala uporabljenega pri namestitvi injektorja.</w:t>
            </w:r>
          </w:p>
          <w:p w:rsidR="008A2F18" w:rsidRDefault="008A2F18" w:rsidP="008A2F18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</w:p>
          <w:p w:rsidR="003738CB" w:rsidRDefault="00C4085F" w:rsidP="003738CB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Ponudnik zagotavlja za ponujeni </w:t>
            </w:r>
            <w:r w:rsidR="00B03713">
              <w:rPr>
                <w:rFonts w:ascii="Verdana" w:hAnsi="Verdana"/>
                <w:sz w:val="20"/>
                <w:szCs w:val="20"/>
              </w:rPr>
              <w:t>injektor</w:t>
            </w:r>
            <w:r>
              <w:rPr>
                <w:rFonts w:ascii="Verdana" w:hAnsi="Verdana"/>
                <w:sz w:val="20"/>
                <w:szCs w:val="20"/>
              </w:rPr>
              <w:t xml:space="preserve"> najmanj 1 letno garancijo</w:t>
            </w:r>
            <w:proofErr w:type="gramStart"/>
            <w:r w:rsidR="00A743AC">
              <w:rPr>
                <w:rFonts w:ascii="Verdana" w:hAnsi="Verdana"/>
                <w:sz w:val="20"/>
                <w:szCs w:val="20"/>
              </w:rPr>
              <w:t>.(</w:t>
            </w:r>
            <w:proofErr w:type="gramEnd"/>
            <w:r w:rsidR="00A743AC">
              <w:rPr>
                <w:rFonts w:ascii="Verdana" w:hAnsi="Verdana"/>
                <w:sz w:val="20"/>
                <w:szCs w:val="20"/>
              </w:rPr>
              <w:t xml:space="preserve"> Š</w:t>
            </w:r>
            <w:r>
              <w:rPr>
                <w:rFonts w:ascii="Verdana" w:hAnsi="Verdana"/>
                <w:sz w:val="20"/>
                <w:szCs w:val="20"/>
              </w:rPr>
              <w:t>teto od uspešno opravljene primopredaje in podpisa primopredajnega zapisnika s strain pooblaščenih predstavnikov n</w:t>
            </w:r>
            <w:r w:rsidR="00A743AC">
              <w:rPr>
                <w:rFonts w:ascii="Verdana" w:hAnsi="Verdana"/>
                <w:sz w:val="20"/>
                <w:szCs w:val="20"/>
              </w:rPr>
              <w:t>aročnika in izbranega ponudnika).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743AC">
              <w:rPr>
                <w:rFonts w:ascii="Verdana" w:hAnsi="Verdana"/>
                <w:sz w:val="20"/>
                <w:szCs w:val="20"/>
              </w:rPr>
              <w:t>V obdobju veljavnosti garancije ponudnik zagotavlja odpravljanje okvar in napa</w:t>
            </w:r>
            <w:r w:rsidR="00B03713">
              <w:rPr>
                <w:rFonts w:ascii="Verdana" w:hAnsi="Verdana"/>
                <w:sz w:val="20"/>
                <w:szCs w:val="20"/>
              </w:rPr>
              <w:t>k pri delovanju injekt</w:t>
            </w:r>
            <w:r w:rsidR="004D3A4A">
              <w:rPr>
                <w:rFonts w:ascii="Verdana" w:hAnsi="Verdana"/>
                <w:sz w:val="20"/>
                <w:szCs w:val="20"/>
              </w:rPr>
              <w:t>o</w:t>
            </w:r>
            <w:r w:rsidR="00B03713">
              <w:rPr>
                <w:rFonts w:ascii="Verdana" w:hAnsi="Verdana"/>
                <w:sz w:val="20"/>
                <w:szCs w:val="20"/>
              </w:rPr>
              <w:t>rja</w:t>
            </w:r>
            <w:r w:rsidR="002C185E">
              <w:rPr>
                <w:rFonts w:ascii="Verdana" w:hAnsi="Verdana"/>
                <w:sz w:val="20"/>
                <w:szCs w:val="20"/>
              </w:rPr>
              <w:t>,</w:t>
            </w:r>
            <w:r w:rsidR="00A743AC">
              <w:rPr>
                <w:rFonts w:ascii="Verdana" w:hAnsi="Verdana"/>
                <w:sz w:val="20"/>
                <w:szCs w:val="20"/>
              </w:rPr>
              <w:t xml:space="preserve"> vključno z zamenjavo okvarjenih delov in vsemi povezanimi stroški: delovne ure, kilometrina… v celoti </w:t>
            </w:r>
            <w:proofErr w:type="gramStart"/>
            <w:r w:rsidR="00A743AC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="00A743AC">
              <w:rPr>
                <w:rFonts w:ascii="Verdana" w:hAnsi="Verdana"/>
                <w:sz w:val="20"/>
                <w:szCs w:val="20"/>
              </w:rPr>
              <w:t xml:space="preserve"> svoje stroške.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3738CB" w:rsidRPr="003738CB" w:rsidRDefault="003738CB" w:rsidP="003738CB">
            <w:pPr>
              <w:pStyle w:val="Brezrazmikov"/>
              <w:rPr>
                <w:rFonts w:ascii="Verdana" w:hAnsi="Verdana"/>
                <w:sz w:val="20"/>
                <w:szCs w:val="20"/>
              </w:rPr>
            </w:pPr>
          </w:p>
          <w:p w:rsidR="003738CB" w:rsidRPr="003738CB" w:rsidRDefault="003738CB" w:rsidP="003738CB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t xml:space="preserve">Ponudba mora vsebovati predračun za vse potrošne materiale, ki so vezani </w:t>
            </w:r>
            <w:proofErr w:type="gramStart"/>
            <w:r>
              <w:t>na</w:t>
            </w:r>
            <w:proofErr w:type="gramEnd"/>
            <w:r>
              <w:t xml:space="preserve"> injektor kontrastnega sredstva za obdobje 7 let. (Predvidoma 2600 kompletov brizg ter 30000 linij (250 cm) za enkratno uporabo).</w:t>
            </w:r>
            <w:r w:rsidR="00091808">
              <w:t xml:space="preserve"> </w:t>
            </w:r>
            <w:r w:rsidR="00091808" w:rsidRPr="008A630B">
              <w:t xml:space="preserve">Rok dobave potrošnega materiala </w:t>
            </w:r>
            <w:proofErr w:type="gramStart"/>
            <w:r w:rsidR="00091808" w:rsidRPr="008A630B">
              <w:t>na</w:t>
            </w:r>
            <w:proofErr w:type="gramEnd"/>
            <w:r w:rsidR="00091808" w:rsidRPr="008A630B">
              <w:t xml:space="preserve"> lokacijo: 3 delovne dni od naročila.</w:t>
            </w:r>
            <w:r w:rsidR="00091808">
              <w:t xml:space="preserve"> </w:t>
            </w:r>
          </w:p>
          <w:p w:rsidR="004D3A4A" w:rsidRPr="001A2371" w:rsidRDefault="004D3A4A" w:rsidP="004D3A4A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  <w:p w:rsidR="004D3A4A" w:rsidRDefault="004D3A4A" w:rsidP="00C4085F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 ponudbi mora biti navedena cena enkrat-</w:t>
            </w:r>
            <w:r w:rsidR="002C185E">
              <w:rPr>
                <w:rFonts w:ascii="Verdana" w:hAnsi="Verdana"/>
                <w:sz w:val="20"/>
                <w:szCs w:val="20"/>
              </w:rPr>
              <w:t>letnega preventivnega pregleda injektorja</w:t>
            </w:r>
            <w:r>
              <w:rPr>
                <w:rFonts w:ascii="Verdana" w:hAnsi="Verdana"/>
                <w:sz w:val="20"/>
                <w:szCs w:val="20"/>
              </w:rPr>
              <w:t xml:space="preserve"> po izteku garancijske dobe. Navedena mora biti tudi cena delovne ure interventnega popravila in kilometrina. </w:t>
            </w:r>
          </w:p>
          <w:p w:rsidR="00A743AC" w:rsidRDefault="00A743AC" w:rsidP="00A743AC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  <w:p w:rsidR="00206706" w:rsidRPr="00454E7F" w:rsidRDefault="00A743AC" w:rsidP="008F52FD">
            <w:pPr>
              <w:pStyle w:val="Brezrazmikov"/>
              <w:numPr>
                <w:ilvl w:val="0"/>
                <w:numId w:val="17"/>
              </w:numPr>
            </w:pPr>
            <w:r>
              <w:rPr>
                <w:rFonts w:ascii="Verdana" w:hAnsi="Verdana"/>
                <w:sz w:val="20"/>
                <w:szCs w:val="20"/>
              </w:rPr>
              <w:t xml:space="preserve">Zagotavljanje pooblaščene servisne službe v RS za čas pričakovane uporabe </w:t>
            </w:r>
            <w:proofErr w:type="gramStart"/>
            <w:r w:rsidR="00B03713">
              <w:rPr>
                <w:rFonts w:ascii="Verdana" w:hAnsi="Verdana"/>
                <w:sz w:val="20"/>
                <w:szCs w:val="20"/>
              </w:rPr>
              <w:t>injektorja</w:t>
            </w:r>
            <w:r w:rsidR="008F52FD">
              <w:rPr>
                <w:rFonts w:ascii="Verdana" w:hAnsi="Verdana"/>
                <w:sz w:val="20"/>
                <w:szCs w:val="20"/>
              </w:rPr>
              <w:t xml:space="preserve">  (</w:t>
            </w:r>
            <w:proofErr w:type="gramEnd"/>
            <w:r w:rsidR="008F52FD">
              <w:rPr>
                <w:rFonts w:ascii="Verdana" w:hAnsi="Verdana"/>
                <w:sz w:val="20"/>
                <w:szCs w:val="20"/>
              </w:rPr>
              <w:t>7 let) preko katere bo izbrani ponudnik iz</w:t>
            </w:r>
            <w:r w:rsidR="004615C1">
              <w:rPr>
                <w:rFonts w:ascii="Verdana" w:hAnsi="Verdana"/>
                <w:sz w:val="20"/>
                <w:szCs w:val="20"/>
              </w:rPr>
              <w:t>vajal redne servisne preglede ter</w:t>
            </w:r>
            <w:r w:rsidR="008F52FD">
              <w:rPr>
                <w:rFonts w:ascii="Verdana" w:hAnsi="Verdana"/>
                <w:sz w:val="20"/>
                <w:szCs w:val="20"/>
              </w:rPr>
              <w:t xml:space="preserve"> popravila skladno z navodili proizvajalca izven garancijske dobe. Odzivni </w:t>
            </w:r>
            <w:proofErr w:type="gramStart"/>
            <w:r w:rsidR="008F52FD">
              <w:rPr>
                <w:rFonts w:ascii="Verdana" w:hAnsi="Verdana"/>
                <w:sz w:val="20"/>
                <w:szCs w:val="20"/>
              </w:rPr>
              <w:t>čas</w:t>
            </w:r>
            <w:proofErr w:type="gramEnd"/>
            <w:r w:rsidR="008F52FD">
              <w:rPr>
                <w:rFonts w:ascii="Verdana" w:hAnsi="Verdana"/>
                <w:sz w:val="20"/>
                <w:szCs w:val="20"/>
              </w:rPr>
              <w:t xml:space="preserve"> serviserja je največ 2 uri po prijavi napake/okvare.</w:t>
            </w:r>
            <w:r w:rsidR="004615C1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 w:rsidR="004615C1">
              <w:rPr>
                <w:rFonts w:ascii="Verdana" w:hAnsi="Verdana"/>
                <w:sz w:val="20"/>
                <w:szCs w:val="20"/>
              </w:rPr>
              <w:t>Čas</w:t>
            </w:r>
            <w:proofErr w:type="gramEnd"/>
            <w:r w:rsidR="004615C1">
              <w:rPr>
                <w:rFonts w:ascii="Verdana" w:hAnsi="Verdana"/>
                <w:sz w:val="20"/>
                <w:szCs w:val="20"/>
              </w:rPr>
              <w:t xml:space="preserve"> za odpravo napake/okvare je največ 24 ur od </w:t>
            </w:r>
            <w:r w:rsidR="004615C1" w:rsidRPr="00454E7F">
              <w:rPr>
                <w:rFonts w:ascii="Verdana" w:hAnsi="Verdana"/>
                <w:sz w:val="20"/>
                <w:szCs w:val="20"/>
              </w:rPr>
              <w:t>vzpostavitve kontakta s serviserjem.</w:t>
            </w:r>
            <w:r w:rsidR="008F52FD" w:rsidRPr="00454E7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615C1" w:rsidRPr="00454E7F">
              <w:rPr>
                <w:rFonts w:ascii="Verdana" w:hAnsi="Verdana"/>
                <w:sz w:val="20"/>
                <w:szCs w:val="20"/>
              </w:rPr>
              <w:t>Če</w:t>
            </w:r>
            <w:r w:rsidR="00E211F1">
              <w:rPr>
                <w:rFonts w:ascii="Verdana" w:hAnsi="Verdana"/>
                <w:sz w:val="20"/>
                <w:szCs w:val="20"/>
              </w:rPr>
              <w:t xml:space="preserve"> odprava</w:t>
            </w:r>
            <w:r w:rsidR="004615C1" w:rsidRPr="00454E7F">
              <w:rPr>
                <w:rFonts w:ascii="Verdana" w:hAnsi="Verdana"/>
                <w:sz w:val="20"/>
                <w:szCs w:val="20"/>
              </w:rPr>
              <w:t xml:space="preserve"> napake</w:t>
            </w:r>
            <w:r w:rsidR="00E211F1">
              <w:rPr>
                <w:rFonts w:ascii="Verdana" w:hAnsi="Verdana"/>
                <w:sz w:val="20"/>
                <w:szCs w:val="20"/>
              </w:rPr>
              <w:t xml:space="preserve"> sloni </w:t>
            </w:r>
            <w:proofErr w:type="gramStart"/>
            <w:r w:rsidR="00E211F1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="00E211F1">
              <w:rPr>
                <w:rFonts w:ascii="Verdana" w:hAnsi="Verdana"/>
                <w:sz w:val="20"/>
                <w:szCs w:val="20"/>
              </w:rPr>
              <w:t xml:space="preserve"> rezervnem delu, ki ga v tem času ni možno dobiti zaradi okoliščin neodvisnih od ponudnika pa 72 ur od prijave napake. V kolikor napake/okvare </w:t>
            </w:r>
            <w:proofErr w:type="gramStart"/>
            <w:r w:rsidR="00E211F1">
              <w:rPr>
                <w:rFonts w:ascii="Verdana" w:hAnsi="Verdana"/>
                <w:sz w:val="20"/>
                <w:szCs w:val="20"/>
              </w:rPr>
              <w:t>ni</w:t>
            </w:r>
            <w:proofErr w:type="gramEnd"/>
            <w:r w:rsidR="004615C1" w:rsidRPr="00454E7F">
              <w:rPr>
                <w:rFonts w:ascii="Verdana" w:hAnsi="Verdana"/>
                <w:sz w:val="20"/>
                <w:szCs w:val="20"/>
              </w:rPr>
              <w:t xml:space="preserve"> mogoče odpraviti v </w:t>
            </w:r>
            <w:r w:rsidR="00454E7F" w:rsidRPr="00454E7F">
              <w:rPr>
                <w:rFonts w:ascii="Verdana" w:hAnsi="Verdana"/>
                <w:sz w:val="20"/>
                <w:szCs w:val="20"/>
              </w:rPr>
              <w:t>24 urah</w:t>
            </w:r>
            <w:r w:rsidR="00454E7F">
              <w:rPr>
                <w:rFonts w:ascii="Verdana" w:hAnsi="Verdana"/>
                <w:sz w:val="20"/>
                <w:szCs w:val="20"/>
              </w:rPr>
              <w:t>,</w:t>
            </w:r>
            <w:r w:rsidR="004615C1" w:rsidRPr="00454E7F">
              <w:rPr>
                <w:rFonts w:ascii="Verdana" w:hAnsi="Verdana"/>
                <w:sz w:val="20"/>
                <w:szCs w:val="20"/>
              </w:rPr>
              <w:t xml:space="preserve"> mora ponudnik na lastne stroške zagotoviti ustrezen nadomestni injektor</w:t>
            </w:r>
            <w:r w:rsidR="004615C1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454E7F" w:rsidRPr="00454E7F" w:rsidRDefault="00454E7F" w:rsidP="00454E7F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Ponudnik mora zagotavljati originalne rezervne dele in njihovo vgraditev.</w:t>
            </w:r>
          </w:p>
          <w:p w:rsidR="00454E7F" w:rsidRPr="00454E7F" w:rsidRDefault="00454E7F" w:rsidP="00454E7F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  <w:p w:rsidR="00454E7F" w:rsidRDefault="00E211F1" w:rsidP="008F52FD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 ceno navedeno v ponudbi mora ponudnik</w:t>
            </w:r>
            <w:r w:rsidR="00B03713">
              <w:rPr>
                <w:rFonts w:ascii="Verdana" w:hAnsi="Verdana"/>
                <w:sz w:val="20"/>
                <w:szCs w:val="20"/>
              </w:rPr>
              <w:t xml:space="preserve"> izvesti usposabljanje 3 zdravnikov radiologov</w:t>
            </w:r>
            <w:r>
              <w:rPr>
                <w:rFonts w:ascii="Verdana" w:hAnsi="Verdana"/>
                <w:sz w:val="20"/>
                <w:szCs w:val="20"/>
              </w:rPr>
              <w:t xml:space="preserve">, </w:t>
            </w:r>
            <w:r w:rsidR="00B03713">
              <w:rPr>
                <w:rFonts w:ascii="Verdana" w:hAnsi="Verdana"/>
                <w:sz w:val="20"/>
                <w:szCs w:val="20"/>
              </w:rPr>
              <w:t xml:space="preserve">20-ih inženirjev </w:t>
            </w:r>
            <w:r>
              <w:rPr>
                <w:rFonts w:ascii="Verdana" w:hAnsi="Verdana"/>
                <w:sz w:val="20"/>
                <w:szCs w:val="20"/>
              </w:rPr>
              <w:t>radiologije</w:t>
            </w:r>
            <w:r w:rsidR="00B03713">
              <w:rPr>
                <w:rFonts w:ascii="Verdana" w:hAnsi="Verdana"/>
                <w:sz w:val="20"/>
                <w:szCs w:val="20"/>
              </w:rPr>
              <w:t xml:space="preserve"> ter 2 vzdrževalcev medicinske elektronike. Usposabljanje mora biti organizirano </w:t>
            </w:r>
            <w:proofErr w:type="gramStart"/>
            <w:r w:rsidR="00B03713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="00B03713">
              <w:rPr>
                <w:rFonts w:ascii="Verdana" w:hAnsi="Verdana"/>
                <w:sz w:val="20"/>
                <w:szCs w:val="20"/>
              </w:rPr>
              <w:t xml:space="preserve"> instaliranem injektorju in sicer za zdravnike in inženirje radiologije v trajanju najmanj 2 dni, za vzdr</w:t>
            </w:r>
            <w:r w:rsidR="001A2371">
              <w:rPr>
                <w:rFonts w:ascii="Verdana" w:hAnsi="Verdana"/>
                <w:sz w:val="20"/>
                <w:szCs w:val="20"/>
              </w:rPr>
              <w:t>ž</w:t>
            </w:r>
            <w:r w:rsidR="00B03713">
              <w:rPr>
                <w:rFonts w:ascii="Verdana" w:hAnsi="Verdana"/>
                <w:sz w:val="20"/>
                <w:szCs w:val="20"/>
              </w:rPr>
              <w:t>evalce pa v trajanju najmanj 1 dan.</w:t>
            </w:r>
          </w:p>
          <w:p w:rsidR="00B03713" w:rsidRDefault="00B03713" w:rsidP="00B03713">
            <w:pPr>
              <w:pStyle w:val="Brezrazmikov"/>
              <w:ind w:left="720"/>
              <w:rPr>
                <w:rFonts w:ascii="Verdana" w:hAnsi="Verdana"/>
                <w:sz w:val="20"/>
                <w:szCs w:val="20"/>
              </w:rPr>
            </w:pPr>
          </w:p>
          <w:p w:rsidR="00B03713" w:rsidRDefault="00B03713" w:rsidP="008F52FD">
            <w:pPr>
              <w:pStyle w:val="Brezrazmikov"/>
              <w:numPr>
                <w:ilvl w:val="0"/>
                <w:numId w:val="1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 končani montaži mora izbrani ponudnik pred primopredajo </w:t>
            </w:r>
            <w:r w:rsidR="0058514A">
              <w:rPr>
                <w:rFonts w:ascii="Verdana" w:hAnsi="Verdana"/>
                <w:sz w:val="20"/>
                <w:szCs w:val="20"/>
              </w:rPr>
              <w:t>predati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8514A">
              <w:rPr>
                <w:rFonts w:ascii="Verdana" w:hAnsi="Verdana"/>
                <w:sz w:val="20"/>
                <w:szCs w:val="20"/>
              </w:rPr>
              <w:t xml:space="preserve">naročniku vse potrebne dokumente, ki se nanašajo na </w:t>
            </w:r>
            <w:r w:rsidR="000532B6">
              <w:rPr>
                <w:rFonts w:ascii="Verdana" w:hAnsi="Verdana"/>
                <w:sz w:val="20"/>
                <w:szCs w:val="20"/>
              </w:rPr>
              <w:t>dobavljen injektor:</w:t>
            </w:r>
          </w:p>
          <w:p w:rsidR="0058514A" w:rsidRDefault="0058514A" w:rsidP="0058514A">
            <w:pPr>
              <w:pStyle w:val="Odstavekseznama"/>
              <w:rPr>
                <w:rFonts w:ascii="Verdana" w:hAnsi="Verdana"/>
                <w:sz w:val="20"/>
                <w:szCs w:val="20"/>
              </w:rPr>
            </w:pP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 xml:space="preserve">Navodila za uporabo ter o načinu preizkušanja in </w:t>
            </w:r>
            <w:r>
              <w:rPr>
                <w:rFonts w:ascii="Verdana" w:hAnsi="Verdana"/>
                <w:sz w:val="20"/>
                <w:szCs w:val="20"/>
              </w:rPr>
              <w:t xml:space="preserve">vzdrževanja v slovenskem jeziku.                                                                                                              </w:t>
            </w: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>Originalna navodila za uporabo v a</w:t>
            </w:r>
            <w:r>
              <w:rPr>
                <w:rFonts w:ascii="Verdana" w:hAnsi="Verdana"/>
                <w:sz w:val="20"/>
                <w:szCs w:val="20"/>
              </w:rPr>
              <w:t>ngleškem jeziku („User manual“).</w:t>
            </w: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>Kompletno tehnično dokumentacijo oz. tehnični opis v angleškem jeziku („Service manual“).</w:t>
            </w: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>D</w:t>
            </w:r>
            <w:r w:rsidR="000532B6">
              <w:rPr>
                <w:rFonts w:ascii="Verdana" w:hAnsi="Verdana"/>
                <w:sz w:val="20"/>
                <w:szCs w:val="20"/>
              </w:rPr>
              <w:t>okumentacija mora vsebovati</w:t>
            </w:r>
            <w:r w:rsidRPr="0058514A">
              <w:rPr>
                <w:rFonts w:ascii="Verdana" w:hAnsi="Verdana"/>
                <w:sz w:val="20"/>
                <w:szCs w:val="20"/>
              </w:rPr>
              <w:t xml:space="preserve"> podatke o montaži, priključitvi, delovanju, uporabi in vzdrževanju, navodila o odpravi motenj in okvar, servisnih in verifikacij, risbe in sheme, opozorila na nevarnosti pri uporabi in načine za njihovo odpravo, opozor</w:t>
            </w:r>
            <w:r w:rsidR="000532B6">
              <w:rPr>
                <w:rFonts w:ascii="Verdana" w:hAnsi="Verdana"/>
                <w:sz w:val="20"/>
                <w:szCs w:val="20"/>
              </w:rPr>
              <w:t>ila na nevarne lastnosti injektorja, navodila za hrambo</w:t>
            </w:r>
            <w:r w:rsidRPr="0058514A">
              <w:rPr>
                <w:rFonts w:ascii="Verdana" w:hAnsi="Verdana"/>
                <w:sz w:val="20"/>
                <w:szCs w:val="20"/>
              </w:rPr>
              <w:t>, podatke</w:t>
            </w:r>
            <w:r>
              <w:rPr>
                <w:rFonts w:ascii="Verdana" w:hAnsi="Verdana"/>
                <w:sz w:val="20"/>
                <w:szCs w:val="20"/>
              </w:rPr>
              <w:t xml:space="preserve"> in skice rezervnih delov ipd.).</w:t>
            </w:r>
          </w:p>
          <w:p w:rsidR="0058514A" w:rsidRPr="00CB0833" w:rsidRDefault="00CB0833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Izjava o skladnosti in CE certifikat</w:t>
            </w:r>
            <w:r w:rsidR="006C41CE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:rsidR="0058514A" w:rsidRPr="0058514A" w:rsidRDefault="0058514A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 w:rsidRPr="0058514A">
              <w:rPr>
                <w:rFonts w:ascii="Verdana" w:hAnsi="Verdana"/>
                <w:sz w:val="20"/>
                <w:szCs w:val="20"/>
              </w:rPr>
              <w:t>Zapisnik o funkcionalnem prei</w:t>
            </w:r>
            <w:r>
              <w:rPr>
                <w:rFonts w:ascii="Verdana" w:hAnsi="Verdana"/>
                <w:sz w:val="20"/>
                <w:szCs w:val="20"/>
              </w:rPr>
              <w:t>zkusu in instalacijsko poročilo.</w:t>
            </w:r>
          </w:p>
          <w:p w:rsidR="0058514A" w:rsidRPr="0058514A" w:rsidRDefault="000532B6" w:rsidP="0058514A">
            <w:pPr>
              <w:pStyle w:val="Brezrazmikov"/>
              <w:numPr>
                <w:ilvl w:val="0"/>
                <w:numId w:val="19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Garancijska</w:t>
            </w:r>
            <w:r w:rsidR="0058514A" w:rsidRPr="0058514A">
              <w:rPr>
                <w:rFonts w:ascii="Verdana" w:hAnsi="Verdana"/>
                <w:sz w:val="20"/>
                <w:szCs w:val="20"/>
              </w:rPr>
              <w:t xml:space="preserve"> iz</w:t>
            </w:r>
            <w:r>
              <w:rPr>
                <w:rFonts w:ascii="Verdana" w:hAnsi="Verdana"/>
                <w:sz w:val="20"/>
                <w:szCs w:val="20"/>
              </w:rPr>
              <w:t>java</w:t>
            </w:r>
            <w:r w:rsidR="0058514A">
              <w:rPr>
                <w:rFonts w:ascii="Verdana" w:hAnsi="Verdana"/>
                <w:sz w:val="20"/>
                <w:szCs w:val="20"/>
              </w:rPr>
              <w:t xml:space="preserve"> z dnevom začetka garancije.</w:t>
            </w:r>
          </w:p>
          <w:p w:rsidR="00B03713" w:rsidRPr="00E211F1" w:rsidRDefault="00B03713" w:rsidP="000532B6">
            <w:pPr>
              <w:pStyle w:val="Brezrazmikov"/>
              <w:ind w:left="144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2C05" w:rsidRDefault="00382C05" w:rsidP="00206706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>Spodaj podpisani pooblaščeni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 xml:space="preserve">V/na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1"/>
      <w:r w:rsidRPr="005C2CAB">
        <w:rPr>
          <w:rFonts w:ascii="Verdana" w:hAnsi="Verdana"/>
          <w:sz w:val="20"/>
          <w:szCs w:val="20"/>
          <w:lang w:val="sl-SI"/>
        </w:rPr>
        <w:t xml:space="preserve">, dne </w:t>
      </w:r>
      <w:r w:rsidRPr="005C2CAB">
        <w:rPr>
          <w:rFonts w:ascii="Verdana" w:hAnsi="Verdana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5C2CAB">
        <w:rPr>
          <w:rFonts w:ascii="Verdana" w:hAnsi="Verdana"/>
          <w:sz w:val="20"/>
          <w:szCs w:val="20"/>
          <w:lang w:val="sl-SI"/>
        </w:rPr>
        <w:instrText xml:space="preserve"> FORMTEXT </w:instrText>
      </w:r>
      <w:r w:rsidRPr="005C2CAB">
        <w:rPr>
          <w:rFonts w:ascii="Verdana" w:hAnsi="Verdana"/>
          <w:sz w:val="20"/>
          <w:szCs w:val="20"/>
          <w:lang w:val="sl-SI"/>
        </w:rPr>
      </w:r>
      <w:r w:rsidRPr="005C2CAB">
        <w:rPr>
          <w:rFonts w:ascii="Verdana" w:hAnsi="Verdana"/>
          <w:sz w:val="20"/>
          <w:szCs w:val="20"/>
          <w:lang w:val="sl-SI"/>
        </w:rPr>
        <w:fldChar w:fldCharType="separate"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noProof/>
          <w:sz w:val="20"/>
          <w:szCs w:val="20"/>
          <w:lang w:val="sl-SI"/>
        </w:rPr>
        <w:tab/>
      </w:r>
      <w:r w:rsidRPr="005C2CAB">
        <w:rPr>
          <w:rFonts w:ascii="Verdana" w:hAnsi="Verdana"/>
          <w:noProof/>
          <w:sz w:val="20"/>
          <w:szCs w:val="20"/>
          <w:lang w:val="sl-SI"/>
        </w:rPr>
        <w:t> </w:t>
      </w:r>
      <w:r w:rsidRPr="005C2CAB">
        <w:rPr>
          <w:rFonts w:ascii="Verdana" w:hAnsi="Verdana"/>
          <w:sz w:val="20"/>
          <w:szCs w:val="20"/>
          <w:lang w:val="sl-SI"/>
        </w:rPr>
        <w:fldChar w:fldCharType="end"/>
      </w:r>
      <w:bookmarkEnd w:id="2"/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Ime in priimek:</w:t>
      </w:r>
    </w:p>
    <w:p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18"/>
          <w:szCs w:val="28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</w:r>
      <w:r w:rsidRPr="005C2CAB">
        <w:rPr>
          <w:rFonts w:ascii="Verdana" w:hAnsi="Verdana"/>
          <w:sz w:val="20"/>
          <w:szCs w:val="20"/>
          <w:lang w:val="sl-SI"/>
        </w:rPr>
        <w:tab/>
        <w:t>Žig in podpis:</w:t>
      </w:r>
    </w:p>
    <w:p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DE6" w:rsidRDefault="00286DE6" w:rsidP="00540116">
      <w:pPr>
        <w:spacing w:after="0" w:line="240" w:lineRule="auto"/>
      </w:pPr>
      <w:r>
        <w:separator/>
      </w:r>
    </w:p>
  </w:endnote>
  <w:endnote w:type="continuationSeparator" w:id="0">
    <w:p w:rsidR="00286DE6" w:rsidRDefault="00286DE6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:rsidTr="00334F67">
      <w:tc>
        <w:tcPr>
          <w:tcW w:w="6588" w:type="dxa"/>
          <w:shd w:val="clear" w:color="auto" w:fill="auto"/>
        </w:tcPr>
        <w:p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B6CDB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EB6CDB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540116" w:rsidRDefault="0054011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DE6" w:rsidRDefault="00286DE6" w:rsidP="00540116">
      <w:pPr>
        <w:spacing w:after="0" w:line="240" w:lineRule="auto"/>
      </w:pPr>
      <w:r>
        <w:separator/>
      </w:r>
    </w:p>
  </w:footnote>
  <w:footnote w:type="continuationSeparator" w:id="0">
    <w:p w:rsidR="00286DE6" w:rsidRDefault="00286DE6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:rsidTr="00334F67">
      <w:tc>
        <w:tcPr>
          <w:tcW w:w="6588" w:type="dxa"/>
          <w:shd w:val="clear" w:color="auto" w:fill="auto"/>
        </w:tcPr>
        <w:p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540116" w:rsidRDefault="0054011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CE4" w:rsidRDefault="00792CE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A9B"/>
    <w:multiLevelType w:val="hybridMultilevel"/>
    <w:tmpl w:val="4156CE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2091"/>
    <w:multiLevelType w:val="hybridMultilevel"/>
    <w:tmpl w:val="2640E1D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3C0A"/>
    <w:multiLevelType w:val="hybridMultilevel"/>
    <w:tmpl w:val="2FA42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55B5D"/>
    <w:multiLevelType w:val="hybridMultilevel"/>
    <w:tmpl w:val="3AA41A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C3F06"/>
    <w:multiLevelType w:val="hybridMultilevel"/>
    <w:tmpl w:val="6FA4404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85BFF"/>
    <w:multiLevelType w:val="hybridMultilevel"/>
    <w:tmpl w:val="82B86352"/>
    <w:lvl w:ilvl="0" w:tplc="A11E948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041AF"/>
    <w:multiLevelType w:val="hybridMultilevel"/>
    <w:tmpl w:val="FFAE6070"/>
    <w:lvl w:ilvl="0" w:tplc="B744565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97B60"/>
    <w:multiLevelType w:val="hybridMultilevel"/>
    <w:tmpl w:val="DF58C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24C5B"/>
    <w:multiLevelType w:val="hybridMultilevel"/>
    <w:tmpl w:val="2FA42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212E4"/>
    <w:multiLevelType w:val="hybridMultilevel"/>
    <w:tmpl w:val="17B007D8"/>
    <w:lvl w:ilvl="0" w:tplc="F9C6A37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20A7B"/>
    <w:multiLevelType w:val="hybridMultilevel"/>
    <w:tmpl w:val="6ED2FD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C13D95"/>
    <w:multiLevelType w:val="hybridMultilevel"/>
    <w:tmpl w:val="5DEE0716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10"/>
  </w:num>
  <w:num w:numId="5">
    <w:abstractNumId w:val="1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  <w:num w:numId="17">
    <w:abstractNumId w:val="14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7DD9"/>
    <w:rsid w:val="000532B6"/>
    <w:rsid w:val="000540E1"/>
    <w:rsid w:val="000812BF"/>
    <w:rsid w:val="00090D3A"/>
    <w:rsid w:val="00091808"/>
    <w:rsid w:val="000B3251"/>
    <w:rsid w:val="000C3C89"/>
    <w:rsid w:val="000C630C"/>
    <w:rsid w:val="0010095B"/>
    <w:rsid w:val="001409D8"/>
    <w:rsid w:val="00174901"/>
    <w:rsid w:val="0018304D"/>
    <w:rsid w:val="00187735"/>
    <w:rsid w:val="001A2371"/>
    <w:rsid w:val="001B524D"/>
    <w:rsid w:val="001B6BAF"/>
    <w:rsid w:val="001C5A88"/>
    <w:rsid w:val="001D6BD3"/>
    <w:rsid w:val="00204FCF"/>
    <w:rsid w:val="00206706"/>
    <w:rsid w:val="00286DE6"/>
    <w:rsid w:val="00292849"/>
    <w:rsid w:val="002A12DD"/>
    <w:rsid w:val="002A2382"/>
    <w:rsid w:val="002B3F9F"/>
    <w:rsid w:val="002B4C03"/>
    <w:rsid w:val="002C185E"/>
    <w:rsid w:val="002C26D7"/>
    <w:rsid w:val="002D1DD8"/>
    <w:rsid w:val="002F0454"/>
    <w:rsid w:val="002F2380"/>
    <w:rsid w:val="00300051"/>
    <w:rsid w:val="003035CB"/>
    <w:rsid w:val="00311F43"/>
    <w:rsid w:val="003167CD"/>
    <w:rsid w:val="00334F67"/>
    <w:rsid w:val="00336CFD"/>
    <w:rsid w:val="003411BC"/>
    <w:rsid w:val="003564A9"/>
    <w:rsid w:val="003738CB"/>
    <w:rsid w:val="00382C05"/>
    <w:rsid w:val="0039123D"/>
    <w:rsid w:val="003A627A"/>
    <w:rsid w:val="003B04F2"/>
    <w:rsid w:val="003B4A48"/>
    <w:rsid w:val="003F5DAE"/>
    <w:rsid w:val="0040169F"/>
    <w:rsid w:val="00422BDB"/>
    <w:rsid w:val="00454E7F"/>
    <w:rsid w:val="004615C1"/>
    <w:rsid w:val="004B2C5A"/>
    <w:rsid w:val="004C61C9"/>
    <w:rsid w:val="004D18FD"/>
    <w:rsid w:val="004D3A4A"/>
    <w:rsid w:val="004F17F3"/>
    <w:rsid w:val="00520426"/>
    <w:rsid w:val="00540116"/>
    <w:rsid w:val="00547605"/>
    <w:rsid w:val="00556AA7"/>
    <w:rsid w:val="00571AC5"/>
    <w:rsid w:val="0058514A"/>
    <w:rsid w:val="005A11EC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A7ABC"/>
    <w:rsid w:val="006C41CE"/>
    <w:rsid w:val="006E5641"/>
    <w:rsid w:val="006E61C8"/>
    <w:rsid w:val="006E6E30"/>
    <w:rsid w:val="006F3EC7"/>
    <w:rsid w:val="0070566A"/>
    <w:rsid w:val="0070782A"/>
    <w:rsid w:val="0071138D"/>
    <w:rsid w:val="007120B7"/>
    <w:rsid w:val="00725F47"/>
    <w:rsid w:val="00734EF5"/>
    <w:rsid w:val="00745658"/>
    <w:rsid w:val="00745943"/>
    <w:rsid w:val="00783449"/>
    <w:rsid w:val="007928FF"/>
    <w:rsid w:val="00792CE4"/>
    <w:rsid w:val="007B23C4"/>
    <w:rsid w:val="007E124B"/>
    <w:rsid w:val="007F141F"/>
    <w:rsid w:val="007F5782"/>
    <w:rsid w:val="008026F0"/>
    <w:rsid w:val="008356AC"/>
    <w:rsid w:val="00835C8F"/>
    <w:rsid w:val="00843CCF"/>
    <w:rsid w:val="00844713"/>
    <w:rsid w:val="00847091"/>
    <w:rsid w:val="00850F3E"/>
    <w:rsid w:val="008A2F18"/>
    <w:rsid w:val="008A3921"/>
    <w:rsid w:val="008A630B"/>
    <w:rsid w:val="008C14D0"/>
    <w:rsid w:val="008D12D3"/>
    <w:rsid w:val="008D580A"/>
    <w:rsid w:val="008F0D04"/>
    <w:rsid w:val="008F52FD"/>
    <w:rsid w:val="009061C2"/>
    <w:rsid w:val="00906C79"/>
    <w:rsid w:val="00911055"/>
    <w:rsid w:val="00911568"/>
    <w:rsid w:val="0091283F"/>
    <w:rsid w:val="0095520A"/>
    <w:rsid w:val="00963F3E"/>
    <w:rsid w:val="00974AA2"/>
    <w:rsid w:val="00977253"/>
    <w:rsid w:val="00977CE6"/>
    <w:rsid w:val="00992BD4"/>
    <w:rsid w:val="009D4D96"/>
    <w:rsid w:val="009F0085"/>
    <w:rsid w:val="00A16303"/>
    <w:rsid w:val="00A20748"/>
    <w:rsid w:val="00A218F2"/>
    <w:rsid w:val="00A3245F"/>
    <w:rsid w:val="00A40F38"/>
    <w:rsid w:val="00A70C25"/>
    <w:rsid w:val="00A743AC"/>
    <w:rsid w:val="00A8536C"/>
    <w:rsid w:val="00AB24AB"/>
    <w:rsid w:val="00AC0CD8"/>
    <w:rsid w:val="00AC1077"/>
    <w:rsid w:val="00AE4BF2"/>
    <w:rsid w:val="00AE7853"/>
    <w:rsid w:val="00B03713"/>
    <w:rsid w:val="00B367E7"/>
    <w:rsid w:val="00BB5BA7"/>
    <w:rsid w:val="00BC2758"/>
    <w:rsid w:val="00C1225D"/>
    <w:rsid w:val="00C4085F"/>
    <w:rsid w:val="00C67CE6"/>
    <w:rsid w:val="00C763A6"/>
    <w:rsid w:val="00C8064E"/>
    <w:rsid w:val="00CA3765"/>
    <w:rsid w:val="00CB0833"/>
    <w:rsid w:val="00CD0F97"/>
    <w:rsid w:val="00CD40B9"/>
    <w:rsid w:val="00CD5A0A"/>
    <w:rsid w:val="00CE1A2E"/>
    <w:rsid w:val="00CE7CC1"/>
    <w:rsid w:val="00D15D05"/>
    <w:rsid w:val="00D21E38"/>
    <w:rsid w:val="00D27121"/>
    <w:rsid w:val="00D61B05"/>
    <w:rsid w:val="00D64F06"/>
    <w:rsid w:val="00DB506D"/>
    <w:rsid w:val="00DC3054"/>
    <w:rsid w:val="00DF4CAC"/>
    <w:rsid w:val="00E03FA2"/>
    <w:rsid w:val="00E211F1"/>
    <w:rsid w:val="00EB501E"/>
    <w:rsid w:val="00EB6CDB"/>
    <w:rsid w:val="00EC2319"/>
    <w:rsid w:val="00EC7AFA"/>
    <w:rsid w:val="00EE71D4"/>
    <w:rsid w:val="00EF192D"/>
    <w:rsid w:val="00EF1E3E"/>
    <w:rsid w:val="00EF626F"/>
    <w:rsid w:val="00F06BD9"/>
    <w:rsid w:val="00F3087F"/>
    <w:rsid w:val="00F50C43"/>
    <w:rsid w:val="00F62237"/>
    <w:rsid w:val="00F63BDD"/>
    <w:rsid w:val="00F86D55"/>
    <w:rsid w:val="00FC104A"/>
    <w:rsid w:val="00FC217C"/>
    <w:rsid w:val="00FD3864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hps">
    <w:name w:val="hps"/>
    <w:rsid w:val="00F63BDD"/>
  </w:style>
  <w:style w:type="character" w:styleId="Pripombasklic">
    <w:name w:val="annotation reference"/>
    <w:basedOn w:val="Privzetapisavaodstavka"/>
    <w:uiPriority w:val="99"/>
    <w:semiHidden/>
    <w:unhideWhenUsed/>
    <w:rsid w:val="009F00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00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008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00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0085"/>
    <w:rPr>
      <w:b/>
      <w:bCs/>
      <w:lang w:val="en-US" w:eastAsia="en-US"/>
    </w:rPr>
  </w:style>
  <w:style w:type="paragraph" w:styleId="Brezrazmikov">
    <w:name w:val="No Spacing"/>
    <w:uiPriority w:val="1"/>
    <w:qFormat/>
    <w:rsid w:val="00847091"/>
    <w:rPr>
      <w:sz w:val="22"/>
      <w:szCs w:val="22"/>
      <w:lang w:val="en-US"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738CB"/>
    <w:pPr>
      <w:spacing w:after="0" w:line="240" w:lineRule="auto"/>
    </w:pPr>
    <w:rPr>
      <w:rFonts w:eastAsiaTheme="minorHAnsi" w:cstheme="minorBidi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738CB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hps">
    <w:name w:val="hps"/>
    <w:rsid w:val="00F63BDD"/>
  </w:style>
  <w:style w:type="character" w:styleId="Pripombasklic">
    <w:name w:val="annotation reference"/>
    <w:basedOn w:val="Privzetapisavaodstavka"/>
    <w:uiPriority w:val="99"/>
    <w:semiHidden/>
    <w:unhideWhenUsed/>
    <w:rsid w:val="009F00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F00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F008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00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0085"/>
    <w:rPr>
      <w:b/>
      <w:bCs/>
      <w:lang w:val="en-US" w:eastAsia="en-US"/>
    </w:rPr>
  </w:style>
  <w:style w:type="paragraph" w:styleId="Brezrazmikov">
    <w:name w:val="No Spacing"/>
    <w:uiPriority w:val="1"/>
    <w:qFormat/>
    <w:rsid w:val="00847091"/>
    <w:rPr>
      <w:sz w:val="22"/>
      <w:szCs w:val="22"/>
      <w:lang w:val="en-US" w:eastAsia="en-US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3738CB"/>
    <w:pPr>
      <w:spacing w:after="0" w:line="240" w:lineRule="auto"/>
    </w:pPr>
    <w:rPr>
      <w:rFonts w:eastAsiaTheme="minorHAnsi" w:cstheme="minorBidi"/>
      <w:szCs w:val="21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3738CB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845C6-EF46-428E-B70D-2B13AED9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11</cp:revision>
  <cp:lastPrinted>2016-04-01T12:08:00Z</cp:lastPrinted>
  <dcterms:created xsi:type="dcterms:W3CDTF">2019-09-17T18:26:00Z</dcterms:created>
  <dcterms:modified xsi:type="dcterms:W3CDTF">2019-11-15T14:20:00Z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/>
  </property>
  <property fmtid="{D5CDD505-2E9C-101B-9397-08002B2CF9AE}" pid="5" name="MFiles_P1046">
    <vt:lpwstr>Nakup ventilatorjev za podporo dihanju</vt:lpwstr>
  </property>
  <property fmtid="{D5CDD505-2E9C-101B-9397-08002B2CF9AE}" pid="6" name="MFiles_PG5BC2FC14A405421BA79F5FEC63BD00E3n1_PGB3D8D77D2D654902AEB821305A1A12BC">
    <vt:lpwstr>5290 Šempeter pri Gorici</vt:lpwstr>
  </property>
</Properties>
</file>