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D405C0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F822D0" w:rsidTr="00D405C0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3E058F" w:rsidTr="00A7098E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</w:tcPr>
          <w:p w:rsidR="00A7098E" w:rsidRPr="004E39CE" w:rsidRDefault="00A7098E" w:rsidP="00A7098E">
            <w:pPr>
              <w:spacing w:after="0"/>
            </w:pPr>
            <w:r w:rsidRPr="004E39CE">
              <w:t>270-4/2019</w:t>
            </w:r>
          </w:p>
        </w:tc>
      </w:tr>
      <w:tr w:rsidR="00A7098E" w:rsidRPr="003E058F" w:rsidTr="00A7098E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</w:tcPr>
          <w:p w:rsidR="00A7098E" w:rsidRDefault="00A7098E" w:rsidP="00A7098E">
            <w:pPr>
              <w:spacing w:after="0"/>
            </w:pPr>
            <w:r w:rsidRPr="004E39CE">
              <w:t>Anestezijski aparat – 1 kos</w:t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</w:t>
      </w:r>
      <w:r w:rsidR="00B933CB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bookmarkStart w:id="0" w:name="_GoBack"/>
      <w:bookmarkEnd w:id="0"/>
      <w:r w:rsidR="00894E61" w:rsidRPr="00894E6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287F99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2019-02-14T08:22:00Z</dcterms:created>
  <dcterms:modified xsi:type="dcterms:W3CDTF">2019-08-08T10:37:00Z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