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6E920" w14:textId="77777777" w:rsidR="009D6631" w:rsidRDefault="005D2B67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SPECIFIKACIJE</w:t>
      </w:r>
    </w:p>
    <w:p w14:paraId="5CBA5B8C" w14:textId="77777777" w:rsidR="009D6631" w:rsidRDefault="009D6631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9D6631" w14:paraId="36A58AFF" w14:textId="77777777">
        <w:trPr>
          <w:jc w:val="center"/>
        </w:trPr>
        <w:tc>
          <w:tcPr>
            <w:tcW w:w="3263" w:type="dxa"/>
            <w:shd w:val="clear" w:color="auto" w:fill="FDB940"/>
          </w:tcPr>
          <w:p w14:paraId="7456EB7D" w14:textId="77777777" w:rsidR="009D6631" w:rsidRDefault="005D2B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14:paraId="45950E40" w14:textId="77777777" w:rsidR="009D6631" w:rsidRDefault="005D2B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</w:p>
          <w:p w14:paraId="02508033" w14:textId="77777777" w:rsidR="009D6631" w:rsidRDefault="005D2B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</w:p>
          <w:p w14:paraId="6552DAEC" w14:textId="77777777" w:rsidR="009D6631" w:rsidRDefault="005D2B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</w:p>
        </w:tc>
      </w:tr>
      <w:tr w:rsidR="009F408B" w14:paraId="0770DA58" w14:textId="77777777">
        <w:trPr>
          <w:jc w:val="center"/>
        </w:trPr>
        <w:tc>
          <w:tcPr>
            <w:tcW w:w="3263" w:type="dxa"/>
            <w:shd w:val="clear" w:color="auto" w:fill="FDB940"/>
          </w:tcPr>
          <w:p w14:paraId="07D21B67" w14:textId="77777777" w:rsidR="009F408B" w:rsidRDefault="009F408B" w:rsidP="009F408B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14:paraId="2271EBD4" w14:textId="77777777" w:rsidR="009F408B" w:rsidRPr="00F12D3E" w:rsidRDefault="009F408B" w:rsidP="009F408B">
            <w:r w:rsidRPr="00F12D3E">
              <w:t>260-13/2018</w:t>
            </w:r>
          </w:p>
        </w:tc>
      </w:tr>
      <w:tr w:rsidR="009F408B" w14:paraId="25E9C8C5" w14:textId="77777777">
        <w:trPr>
          <w:jc w:val="center"/>
        </w:trPr>
        <w:tc>
          <w:tcPr>
            <w:tcW w:w="3263" w:type="dxa"/>
            <w:shd w:val="clear" w:color="auto" w:fill="FDB940"/>
          </w:tcPr>
          <w:p w14:paraId="0F750989" w14:textId="77777777" w:rsidR="009F408B" w:rsidRDefault="009F408B" w:rsidP="009F408B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14:paraId="17FB7CA7" w14:textId="77777777" w:rsidR="009F408B" w:rsidRPr="009F408B" w:rsidRDefault="009F408B" w:rsidP="009F408B">
            <w:pPr>
              <w:rPr>
                <w:b/>
              </w:rPr>
            </w:pPr>
            <w:proofErr w:type="spellStart"/>
            <w:r w:rsidRPr="009F408B">
              <w:rPr>
                <w:b/>
              </w:rPr>
              <w:t>Poslovni</w:t>
            </w:r>
            <w:proofErr w:type="spellEnd"/>
            <w:r w:rsidRPr="009F408B">
              <w:rPr>
                <w:b/>
              </w:rPr>
              <w:t xml:space="preserve"> </w:t>
            </w:r>
            <w:proofErr w:type="spellStart"/>
            <w:r w:rsidRPr="009F408B">
              <w:rPr>
                <w:b/>
              </w:rPr>
              <w:t>najem</w:t>
            </w:r>
            <w:proofErr w:type="spellEnd"/>
            <w:r w:rsidRPr="009F408B">
              <w:rPr>
                <w:b/>
              </w:rPr>
              <w:t xml:space="preserve"> </w:t>
            </w:r>
            <w:proofErr w:type="spellStart"/>
            <w:r w:rsidRPr="009F408B">
              <w:rPr>
                <w:b/>
              </w:rPr>
              <w:t>dezinfektorjev</w:t>
            </w:r>
            <w:proofErr w:type="spellEnd"/>
            <w:r w:rsidRPr="009F408B">
              <w:rPr>
                <w:b/>
              </w:rPr>
              <w:t xml:space="preserve"> za </w:t>
            </w:r>
            <w:proofErr w:type="spellStart"/>
            <w:r w:rsidRPr="009F408B">
              <w:rPr>
                <w:b/>
              </w:rPr>
              <w:t>fleksibilne</w:t>
            </w:r>
            <w:proofErr w:type="spellEnd"/>
            <w:r w:rsidRPr="009F408B">
              <w:rPr>
                <w:b/>
              </w:rPr>
              <w:t xml:space="preserve"> </w:t>
            </w:r>
            <w:proofErr w:type="spellStart"/>
            <w:r w:rsidRPr="009F408B">
              <w:rPr>
                <w:b/>
              </w:rPr>
              <w:t>endoskope</w:t>
            </w:r>
            <w:proofErr w:type="spellEnd"/>
          </w:p>
        </w:tc>
      </w:tr>
    </w:tbl>
    <w:p w14:paraId="14C7E697" w14:textId="77777777" w:rsidR="009D6631" w:rsidRDefault="009D6631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53E5EB19" w14:textId="77777777" w:rsidR="009D6631" w:rsidRDefault="009D6631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3678F96C" w14:textId="77777777" w:rsidR="009D6631" w:rsidRDefault="005D2B67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1. 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9D6631" w14:paraId="424E0162" w14:textId="77777777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5A0567D2" w14:textId="77777777" w:rsidR="009D6631" w:rsidRDefault="005D2B6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1C6CB6FD" w14:textId="77777777" w:rsidR="009D6631" w:rsidRDefault="005D2B6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11B4B745" w14:textId="77777777" w:rsidR="009D6631" w:rsidRDefault="005D2B6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14:paraId="5CE77DC0" w14:textId="77777777" w:rsidR="009D6631" w:rsidRDefault="005D2B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 oziroma ponujeno storitev.</w:t>
            </w:r>
          </w:p>
          <w:p w14:paraId="37D0049E" w14:textId="77777777" w:rsidR="009D6631" w:rsidRDefault="005D2B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Posamezna postavka opredeljena s strani ponudnika mora biti najmanj take kvalitete in lastnosti, kot je določena v stolpcu </w:t>
            </w:r>
            <w:r>
              <w:rPr>
                <w:rFonts w:ascii="Verdana" w:hAnsi="Verdana"/>
                <w:i/>
                <w:sz w:val="20"/>
                <w:szCs w:val="28"/>
                <w:lang w:val="sl-SI"/>
              </w:rPr>
              <w:t>ZAHTEVANO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pod isto številko.</w:t>
            </w:r>
          </w:p>
        </w:tc>
      </w:tr>
      <w:tr w:rsidR="009D6631" w14:paraId="05C94EDC" w14:textId="77777777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4597DA3A" w14:textId="77777777" w:rsidR="009D6631" w:rsidRDefault="009D663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6D9BC3CD" w14:textId="6F1088F4" w:rsid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 xml:space="preserve">Dezinfektor s tehnologijo sterilizacije endoskopov naj izpolnjuje sledeče zahteve: </w:t>
            </w:r>
          </w:p>
          <w:p w14:paraId="6862F924" w14:textId="77777777" w:rsidR="009962F1" w:rsidRPr="005340DB" w:rsidRDefault="009962F1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CFE3BE6" w14:textId="540B6B3A" w:rsidR="009962F1" w:rsidRPr="009962F1" w:rsidRDefault="009962F1" w:rsidP="009962F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Naročnik opravi cca 4000 dezinfekcij letno. Glede na povečane potrebe po endoskopskih preiskavah želi naročnik najeti vsaj 2 </w:t>
            </w:r>
            <w:bookmarkStart w:id="0" w:name="_GoBack"/>
            <w:bookmarkEnd w:id="0"/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dezinfektorja, ki bi mu omogočila dezinfekcijo 6 endoskopov na uro.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Cikel pranja mora biti manj kot ½ ure.</w:t>
            </w:r>
          </w:p>
          <w:p w14:paraId="004CAAAB" w14:textId="77777777" w:rsidR="009962F1" w:rsidRPr="009962F1" w:rsidRDefault="009962F1" w:rsidP="009962F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ab/>
              <w:t>Dezinfektorja bosta nameščena na mestu obstoječih aparatov s dolžino 153 cm x 82 cm</w:t>
            </w:r>
          </w:p>
          <w:p w14:paraId="183C19DF" w14:textId="77777777" w:rsidR="009962F1" w:rsidRPr="009962F1" w:rsidRDefault="009962F1" w:rsidP="009962F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ab/>
              <w:t>Voda pri naročniku je trdote 7,9 °</w:t>
            </w:r>
            <w:proofErr w:type="spellStart"/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dH</w:t>
            </w:r>
            <w:proofErr w:type="spellEnd"/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, s pritiskom 2,5 bara, temperatura niha od 18 – do 30°C.</w:t>
            </w:r>
          </w:p>
          <w:p w14:paraId="0BB37C6C" w14:textId="54B938E2" w:rsidR="005340DB" w:rsidRPr="009962F1" w:rsidRDefault="009962F1" w:rsidP="009962F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9962F1">
              <w:rPr>
                <w:rFonts w:ascii="Verdana" w:hAnsi="Verdana"/>
                <w:sz w:val="20"/>
                <w:szCs w:val="28"/>
                <w:lang w:val="sl-SI"/>
              </w:rPr>
              <w:tab/>
              <w:t>V kolikor ponudnik predvideva sistem za obdelavo vhodne vode, mora le-tega vključiti v ponudbo</w:t>
            </w:r>
          </w:p>
          <w:p w14:paraId="1BED4371" w14:textId="7840F554" w:rsidR="009962F1" w:rsidRPr="00B41F3A" w:rsidRDefault="00B41F3A" w:rsidP="00B41F3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       </w:t>
            </w:r>
            <w:r w:rsidR="005340DB" w:rsidRPr="00B41F3A">
              <w:rPr>
                <w:rFonts w:ascii="Verdana" w:hAnsi="Verdana"/>
                <w:sz w:val="20"/>
                <w:szCs w:val="28"/>
                <w:lang w:val="sl-SI"/>
              </w:rPr>
              <w:t>dezinfektor je lahko statičen ali mobilen;</w:t>
            </w:r>
          </w:p>
          <w:p w14:paraId="754B868B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naj ne presega dimenzij (v centimetrih) 700 mm (š) x 1400 mm (v) x 650 mm (g),  zaradi naročnikove omejitve s prostorom, kjer poteka čiščenje ter dezinfekcija endoskopov; </w:t>
            </w:r>
          </w:p>
          <w:p w14:paraId="6D7581CC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naj bo kompatibilen s 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priznanimi dobavitelji fleksibilnih endoskopov OLYMPUS, KARL STORZ, PENTAX, FUJIFILM (ponudnik naj priloži lastno izjavo); </w:t>
            </w:r>
          </w:p>
          <w:p w14:paraId="50016053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>naj ima sistem za testiranje tesnosti endoskopa tekom kompletnega postopka dezinfekcije;</w:t>
            </w:r>
          </w:p>
          <w:p w14:paraId="5FD93BAC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>naj ima sistem za testiranje prehodnosti kanalov, za vsak kanal posebej (delavnega kanala, kanala voda/zrak, kanala za izpiranje) tekom kompletnega cikla dezinfekcije;</w:t>
            </w:r>
          </w:p>
          <w:p w14:paraId="2BD3286D" w14:textId="0695E2C0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>naj ima sistem za stalno spremljanje vseh faz čiščenja z vsemi parametri tekom cikla (prehodnost kanalov, faza čiščenja, temperatura</w:t>
            </w:r>
            <w:r w:rsidR="009962F1">
              <w:rPr>
                <w:rFonts w:ascii="Verdana" w:hAnsi="Verdana"/>
                <w:sz w:val="20"/>
                <w:szCs w:val="28"/>
                <w:lang w:val="sl-SI"/>
              </w:rPr>
              <w:t>..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 xml:space="preserve">) in končno poročilo glede izvedenega cikla dezinfekcije; </w:t>
            </w:r>
          </w:p>
          <w:p w14:paraId="5EC2A980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 kolikor potrebuje sistem za obdelavo vhodne vode, mora le-tega ponudnik vključiti v ponudbo; </w:t>
            </w:r>
          </w:p>
          <w:p w14:paraId="6CED6D69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naj ima avtomatiziran cikel samo-dezinfekcije, katerega lahko uporabnik vključi s prilagojenim terminom, ko to želi; </w:t>
            </w:r>
          </w:p>
          <w:p w14:paraId="6B8B5425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>z uporabo perocetne kisline naj omogoča visoko stopnjo dezinfekcije in s tem široko antimikrobno učinkovitost proti bakterijam, virusom, mikobakterijam;</w:t>
            </w:r>
          </w:p>
          <w:p w14:paraId="5B280B26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>omogočati mora kompleten cikel dezinfekcije po standardu ISO 15883 1&amp;4&amp;5;</w:t>
            </w:r>
          </w:p>
          <w:p w14:paraId="2A408673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z uporabo iste kemije, ki jo uporablja za visoko stopnjo dezinfekcije (perocetna kislina) naj omogoča sterilizacijski cikel endoskopa po standardu UNI EN ISO 14937; </w:t>
            </w:r>
          </w:p>
          <w:p w14:paraId="0872B4DC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Izpolnjuje naj tudi standarde: UNI EN ISO 15883-1, 15883-4, UNI EN ISO/TS 15883-5, IEC 61010-1, IEC 610-10-2-040, EN 61326-1, CEI EN 62366;  </w:t>
            </w:r>
          </w:p>
          <w:p w14:paraId="33910F8C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>naj bo prijazen do uporabnika, brez dražečega vpliva dezinfekcijskega sredstva, morebitnega neprijetnega vonja in korozivnega delovanja oz; kvarnega delovanja na omenjene endoskope;</w:t>
            </w:r>
          </w:p>
          <w:p w14:paraId="5F0E4D77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Stroj mora zagotavljati fazo preverjanja tesnosti endoskopa, fazo predčiščenja, čiščenja, dezinfekcije ter izpiranja endoskopa; </w:t>
            </w:r>
          </w:p>
          <w:p w14:paraId="42BEC5BE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naj omogoča avtomatsko nadzorovanje vseh funkcij delovanja in  delovanje programa dezinfekcije, brez 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možnosti spreminjanja parametrov delovanja s strani bolnišničnega osebja;   </w:t>
            </w:r>
          </w:p>
          <w:p w14:paraId="2BB4D900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mora imeti sistem sledljivosti dezinfekcije za posamezni endoskop, kar zagotavlja nadzor nad številom dezinfekcij in samo sledljivost endoskopov; Sledljivost endoskopov se mora zagotavljati preko RFID sistema; </w:t>
            </w:r>
          </w:p>
          <w:p w14:paraId="53F599B5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naj ima vgrajen tiskalnik, kateri posreduje izpis opravljenega cikla uporabniku in možnost priklopa na mrežo. </w:t>
            </w:r>
          </w:p>
          <w:p w14:paraId="1016A440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FA7E984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7B6449E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Ponudnik mora v ponudbo vključiti:</w:t>
            </w:r>
          </w:p>
          <w:p w14:paraId="26734F2C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 xml:space="preserve">a)Dezinfekcijski stroj s priključki za endoskope, ki jih uporabnik uporablja na oddelku;  </w:t>
            </w:r>
          </w:p>
          <w:p w14:paraId="30B10282" w14:textId="77777777" w:rsidR="005340DB" w:rsidRPr="005340DB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 xml:space="preserve">b)Sistem sledljivosti s čitalcem in možnost povezljivosti na mrežo – set RFID transponderjev (vsaj 10 kom); </w:t>
            </w:r>
          </w:p>
          <w:p w14:paraId="11B9FF8F" w14:textId="77777777" w:rsidR="009D6631" w:rsidRDefault="005340DB" w:rsidP="005340D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5340DB">
              <w:rPr>
                <w:rFonts w:ascii="Verdana" w:hAnsi="Verdana"/>
                <w:sz w:val="20"/>
                <w:szCs w:val="28"/>
                <w:lang w:val="sl-SI"/>
              </w:rPr>
              <w:t>c) Navodila za uporabo (navodila dostavi izbrani ponudnik ob dobavi).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DCB9F" w14:textId="77777777" w:rsidR="009D6631" w:rsidRDefault="009D663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</w:tbl>
    <w:p w14:paraId="16E2F4F6" w14:textId="77777777" w:rsidR="009D6631" w:rsidRDefault="009D6631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9D6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3464" w14:textId="77777777" w:rsidR="005157EE" w:rsidRDefault="005157EE">
      <w:pPr>
        <w:spacing w:after="0" w:line="240" w:lineRule="auto"/>
      </w:pPr>
      <w:r>
        <w:separator/>
      </w:r>
    </w:p>
  </w:endnote>
  <w:endnote w:type="continuationSeparator" w:id="0">
    <w:p w14:paraId="58DE74E7" w14:textId="77777777" w:rsidR="005157EE" w:rsidRDefault="0051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7680" w14:textId="77777777" w:rsidR="009D6631" w:rsidRDefault="009D6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9D6631" w14:paraId="748AED9E" w14:textId="77777777">
      <w:tc>
        <w:tcPr>
          <w:tcW w:w="6588" w:type="dxa"/>
          <w:shd w:val="clear" w:color="auto" w:fill="auto"/>
        </w:tcPr>
        <w:p w14:paraId="1E81ECE7" w14:textId="77777777" w:rsidR="009D6631" w:rsidRDefault="005D2B67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ePRO</w:t>
          </w:r>
          <w:r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796A0D3E" w14:textId="77777777" w:rsidR="009D6631" w:rsidRDefault="005D2B67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="009F408B" w:rsidRPr="009F408B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="005157EE">
            <w:rPr>
              <w:rFonts w:ascii="Verdana" w:hAnsi="Verdana"/>
              <w:noProof/>
              <w:sz w:val="16"/>
              <w:szCs w:val="16"/>
              <w:lang w:val="sl-SI"/>
            </w:rPr>
            <w:fldChar w:fldCharType="begin"/>
          </w:r>
          <w:r w:rsidR="005157EE">
            <w:rPr>
              <w:rFonts w:ascii="Verdana" w:hAnsi="Verdana"/>
              <w:noProof/>
              <w:sz w:val="16"/>
              <w:szCs w:val="16"/>
              <w:lang w:val="sl-SI"/>
            </w:rPr>
            <w:instrText>NUMPAGES \* MERGEFORMAT</w:instrText>
          </w:r>
          <w:r w:rsidR="005157EE">
            <w:rPr>
              <w:rFonts w:ascii="Verdana" w:hAnsi="Verdana"/>
              <w:noProof/>
              <w:sz w:val="16"/>
              <w:szCs w:val="16"/>
              <w:lang w:val="sl-SI"/>
            </w:rPr>
            <w:fldChar w:fldCharType="separate"/>
          </w:r>
          <w:r w:rsidR="009F408B" w:rsidRPr="009F408B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="005157EE">
            <w:rPr>
              <w:rFonts w:ascii="Verdana" w:hAnsi="Verdana"/>
              <w:noProof/>
              <w:sz w:val="16"/>
              <w:szCs w:val="16"/>
              <w:lang w:val="sl-SI"/>
            </w:rPr>
            <w:fldChar w:fldCharType="end"/>
          </w:r>
        </w:p>
      </w:tc>
    </w:tr>
  </w:tbl>
  <w:p w14:paraId="10CACE66" w14:textId="77777777" w:rsidR="009D6631" w:rsidRDefault="009D6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3701" w14:textId="77777777" w:rsidR="009D6631" w:rsidRDefault="009D6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32FB1" w14:textId="77777777" w:rsidR="005157EE" w:rsidRDefault="005157EE">
      <w:pPr>
        <w:spacing w:after="0" w:line="240" w:lineRule="auto"/>
      </w:pPr>
      <w:r>
        <w:separator/>
      </w:r>
    </w:p>
  </w:footnote>
  <w:footnote w:type="continuationSeparator" w:id="0">
    <w:p w14:paraId="1F2E2C5E" w14:textId="77777777" w:rsidR="005157EE" w:rsidRDefault="0051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59BE" w14:textId="77777777" w:rsidR="009D6631" w:rsidRDefault="009D6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9D6631" w14:paraId="2FDE2156" w14:textId="77777777">
      <w:tc>
        <w:tcPr>
          <w:tcW w:w="6588" w:type="dxa"/>
          <w:shd w:val="clear" w:color="auto" w:fill="auto"/>
        </w:tcPr>
        <w:p w14:paraId="6DC4F84C" w14:textId="77777777" w:rsidR="009D6631" w:rsidRDefault="005D2B67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38765D18" w14:textId="77777777" w:rsidR="009D6631" w:rsidRDefault="005D2B67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77B19BE2" w14:textId="77777777" w:rsidR="009D6631" w:rsidRDefault="009D6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124A" w14:textId="77777777" w:rsidR="009D6631" w:rsidRDefault="009D6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6D8"/>
    <w:multiLevelType w:val="hybridMultilevel"/>
    <w:tmpl w:val="6466F966"/>
    <w:lvl w:ilvl="0" w:tplc="4AF2987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AE0786">
      <w:start w:val="1"/>
      <w:numFmt w:val="lowerLetter"/>
      <w:lvlText w:val="%2."/>
      <w:lvlJc w:val="left"/>
      <w:pPr>
        <w:ind w:left="1440" w:hanging="359"/>
      </w:pPr>
    </w:lvl>
    <w:lvl w:ilvl="2" w:tplc="F59A9842">
      <w:start w:val="1"/>
      <w:numFmt w:val="lowerRoman"/>
      <w:lvlText w:val="%3."/>
      <w:lvlJc w:val="right"/>
      <w:pPr>
        <w:ind w:left="2160" w:hanging="179"/>
      </w:pPr>
    </w:lvl>
    <w:lvl w:ilvl="3" w:tplc="8D4C3414">
      <w:start w:val="1"/>
      <w:numFmt w:val="decimal"/>
      <w:lvlText w:val="%4."/>
      <w:lvlJc w:val="left"/>
      <w:pPr>
        <w:ind w:left="2880" w:hanging="359"/>
      </w:pPr>
    </w:lvl>
    <w:lvl w:ilvl="4" w:tplc="5CB88CA2">
      <w:start w:val="1"/>
      <w:numFmt w:val="lowerLetter"/>
      <w:lvlText w:val="%5."/>
      <w:lvlJc w:val="left"/>
      <w:pPr>
        <w:ind w:left="3600" w:hanging="359"/>
      </w:pPr>
    </w:lvl>
    <w:lvl w:ilvl="5" w:tplc="AC2800C6">
      <w:start w:val="1"/>
      <w:numFmt w:val="lowerRoman"/>
      <w:lvlText w:val="%6."/>
      <w:lvlJc w:val="right"/>
      <w:pPr>
        <w:ind w:left="4320" w:hanging="179"/>
      </w:pPr>
    </w:lvl>
    <w:lvl w:ilvl="6" w:tplc="2BACB43A">
      <w:start w:val="1"/>
      <w:numFmt w:val="decimal"/>
      <w:lvlText w:val="%7."/>
      <w:lvlJc w:val="left"/>
      <w:pPr>
        <w:ind w:left="5040" w:hanging="359"/>
      </w:pPr>
    </w:lvl>
    <w:lvl w:ilvl="7" w:tplc="C41E5EAE">
      <w:start w:val="1"/>
      <w:numFmt w:val="lowerLetter"/>
      <w:lvlText w:val="%8."/>
      <w:lvlJc w:val="left"/>
      <w:pPr>
        <w:ind w:left="5760" w:hanging="359"/>
      </w:pPr>
    </w:lvl>
    <w:lvl w:ilvl="8" w:tplc="9E5EF64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F6821CB"/>
    <w:multiLevelType w:val="hybridMultilevel"/>
    <w:tmpl w:val="556C8D62"/>
    <w:lvl w:ilvl="0" w:tplc="63B0C56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14E55FA">
      <w:start w:val="1"/>
      <w:numFmt w:val="lowerLetter"/>
      <w:lvlText w:val="%2."/>
      <w:lvlJc w:val="left"/>
      <w:pPr>
        <w:ind w:left="1440" w:hanging="359"/>
      </w:pPr>
    </w:lvl>
    <w:lvl w:ilvl="2" w:tplc="DF74041A">
      <w:start w:val="1"/>
      <w:numFmt w:val="lowerRoman"/>
      <w:lvlText w:val="%3."/>
      <w:lvlJc w:val="right"/>
      <w:pPr>
        <w:ind w:left="2160" w:hanging="179"/>
      </w:pPr>
    </w:lvl>
    <w:lvl w:ilvl="3" w:tplc="A776EC48">
      <w:start w:val="1"/>
      <w:numFmt w:val="decimal"/>
      <w:lvlText w:val="%4."/>
      <w:lvlJc w:val="left"/>
      <w:pPr>
        <w:ind w:left="2880" w:hanging="359"/>
      </w:pPr>
    </w:lvl>
    <w:lvl w:ilvl="4" w:tplc="0A166E38">
      <w:start w:val="1"/>
      <w:numFmt w:val="lowerLetter"/>
      <w:lvlText w:val="%5."/>
      <w:lvlJc w:val="left"/>
      <w:pPr>
        <w:ind w:left="3600" w:hanging="359"/>
      </w:pPr>
    </w:lvl>
    <w:lvl w:ilvl="5" w:tplc="C6925D7E">
      <w:start w:val="1"/>
      <w:numFmt w:val="lowerRoman"/>
      <w:lvlText w:val="%6."/>
      <w:lvlJc w:val="right"/>
      <w:pPr>
        <w:ind w:left="4320" w:hanging="179"/>
      </w:pPr>
    </w:lvl>
    <w:lvl w:ilvl="6" w:tplc="0B700754">
      <w:start w:val="1"/>
      <w:numFmt w:val="decimal"/>
      <w:lvlText w:val="%7."/>
      <w:lvlJc w:val="left"/>
      <w:pPr>
        <w:ind w:left="5040" w:hanging="359"/>
      </w:pPr>
    </w:lvl>
    <w:lvl w:ilvl="7" w:tplc="81DE8F24">
      <w:start w:val="1"/>
      <w:numFmt w:val="lowerLetter"/>
      <w:lvlText w:val="%8."/>
      <w:lvlJc w:val="left"/>
      <w:pPr>
        <w:ind w:left="5760" w:hanging="359"/>
      </w:pPr>
    </w:lvl>
    <w:lvl w:ilvl="8" w:tplc="F29A978A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21CB31CD"/>
    <w:multiLevelType w:val="hybridMultilevel"/>
    <w:tmpl w:val="77CC5666"/>
    <w:lvl w:ilvl="0" w:tplc="D7568AB4">
      <w:start w:val="1"/>
      <w:numFmt w:val="decimal"/>
      <w:lvlText w:val="%1."/>
      <w:lvlJc w:val="left"/>
      <w:pPr>
        <w:ind w:left="360" w:hanging="359"/>
      </w:pPr>
      <w:rPr>
        <w:rFonts w:hint="default"/>
      </w:rPr>
    </w:lvl>
    <w:lvl w:ilvl="1" w:tplc="9D0A0C54">
      <w:start w:val="1"/>
      <w:numFmt w:val="lowerLetter"/>
      <w:lvlText w:val="%2."/>
      <w:lvlJc w:val="left"/>
      <w:pPr>
        <w:ind w:left="1080" w:hanging="359"/>
      </w:pPr>
    </w:lvl>
    <w:lvl w:ilvl="2" w:tplc="3B3AA1A2">
      <w:start w:val="1"/>
      <w:numFmt w:val="lowerRoman"/>
      <w:lvlText w:val="%3."/>
      <w:lvlJc w:val="right"/>
      <w:pPr>
        <w:ind w:left="1800" w:hanging="179"/>
      </w:pPr>
    </w:lvl>
    <w:lvl w:ilvl="3" w:tplc="4DEA636C">
      <w:start w:val="1"/>
      <w:numFmt w:val="decimal"/>
      <w:lvlText w:val="%4."/>
      <w:lvlJc w:val="left"/>
      <w:pPr>
        <w:ind w:left="2520" w:hanging="359"/>
      </w:pPr>
    </w:lvl>
    <w:lvl w:ilvl="4" w:tplc="9976A910">
      <w:start w:val="1"/>
      <w:numFmt w:val="lowerLetter"/>
      <w:lvlText w:val="%5."/>
      <w:lvlJc w:val="left"/>
      <w:pPr>
        <w:ind w:left="3240" w:hanging="359"/>
      </w:pPr>
    </w:lvl>
    <w:lvl w:ilvl="5" w:tplc="69B6CDC2">
      <w:start w:val="1"/>
      <w:numFmt w:val="lowerRoman"/>
      <w:lvlText w:val="%6."/>
      <w:lvlJc w:val="right"/>
      <w:pPr>
        <w:ind w:left="3960" w:hanging="179"/>
      </w:pPr>
    </w:lvl>
    <w:lvl w:ilvl="6" w:tplc="0388DCE8">
      <w:start w:val="1"/>
      <w:numFmt w:val="decimal"/>
      <w:lvlText w:val="%7."/>
      <w:lvlJc w:val="left"/>
      <w:pPr>
        <w:ind w:left="4680" w:hanging="359"/>
      </w:pPr>
    </w:lvl>
    <w:lvl w:ilvl="7" w:tplc="43B61C44">
      <w:start w:val="1"/>
      <w:numFmt w:val="lowerLetter"/>
      <w:lvlText w:val="%8."/>
      <w:lvlJc w:val="left"/>
      <w:pPr>
        <w:ind w:left="5400" w:hanging="359"/>
      </w:pPr>
    </w:lvl>
    <w:lvl w:ilvl="8" w:tplc="BE7C238A">
      <w:start w:val="1"/>
      <w:numFmt w:val="lowerRoman"/>
      <w:lvlText w:val="%9."/>
      <w:lvlJc w:val="right"/>
      <w:pPr>
        <w:ind w:left="6120" w:hanging="179"/>
      </w:pPr>
    </w:lvl>
  </w:abstractNum>
  <w:abstractNum w:abstractNumId="3" w15:restartNumberingAfterBreak="0">
    <w:nsid w:val="37FC7784"/>
    <w:multiLevelType w:val="hybridMultilevel"/>
    <w:tmpl w:val="D0062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04B4"/>
    <w:multiLevelType w:val="hybridMultilevel"/>
    <w:tmpl w:val="3D2C55F2"/>
    <w:lvl w:ilvl="0" w:tplc="8FAC5A76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6EC01CE">
      <w:start w:val="1"/>
      <w:numFmt w:val="lowerLetter"/>
      <w:lvlText w:val="%2."/>
      <w:lvlJc w:val="left"/>
      <w:pPr>
        <w:ind w:left="1440" w:hanging="359"/>
      </w:pPr>
    </w:lvl>
    <w:lvl w:ilvl="2" w:tplc="BACCDA5C">
      <w:start w:val="1"/>
      <w:numFmt w:val="lowerRoman"/>
      <w:lvlText w:val="%3."/>
      <w:lvlJc w:val="right"/>
      <w:pPr>
        <w:ind w:left="2160" w:hanging="179"/>
      </w:pPr>
    </w:lvl>
    <w:lvl w:ilvl="3" w:tplc="8F52D656">
      <w:start w:val="1"/>
      <w:numFmt w:val="decimal"/>
      <w:lvlText w:val="%4."/>
      <w:lvlJc w:val="left"/>
      <w:pPr>
        <w:ind w:left="2880" w:hanging="359"/>
      </w:pPr>
    </w:lvl>
    <w:lvl w:ilvl="4" w:tplc="63726A28">
      <w:start w:val="1"/>
      <w:numFmt w:val="lowerLetter"/>
      <w:lvlText w:val="%5."/>
      <w:lvlJc w:val="left"/>
      <w:pPr>
        <w:ind w:left="3600" w:hanging="359"/>
      </w:pPr>
    </w:lvl>
    <w:lvl w:ilvl="5" w:tplc="1C0EAB98">
      <w:start w:val="1"/>
      <w:numFmt w:val="lowerRoman"/>
      <w:lvlText w:val="%6."/>
      <w:lvlJc w:val="right"/>
      <w:pPr>
        <w:ind w:left="4320" w:hanging="179"/>
      </w:pPr>
    </w:lvl>
    <w:lvl w:ilvl="6" w:tplc="7E5623B0">
      <w:start w:val="1"/>
      <w:numFmt w:val="decimal"/>
      <w:lvlText w:val="%7."/>
      <w:lvlJc w:val="left"/>
      <w:pPr>
        <w:ind w:left="5040" w:hanging="359"/>
      </w:pPr>
    </w:lvl>
    <w:lvl w:ilvl="7" w:tplc="A26EE6F4">
      <w:start w:val="1"/>
      <w:numFmt w:val="lowerLetter"/>
      <w:lvlText w:val="%8."/>
      <w:lvlJc w:val="left"/>
      <w:pPr>
        <w:ind w:left="5760" w:hanging="359"/>
      </w:pPr>
    </w:lvl>
    <w:lvl w:ilvl="8" w:tplc="CCC05F7A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56ED1AB7"/>
    <w:multiLevelType w:val="hybridMultilevel"/>
    <w:tmpl w:val="2EB89A74"/>
    <w:lvl w:ilvl="0" w:tplc="F7144B46">
      <w:start w:val="1"/>
      <w:numFmt w:val="bullet"/>
      <w:lvlText w:val="o"/>
      <w:lvlJc w:val="left"/>
      <w:pPr>
        <w:ind w:left="720" w:hanging="359"/>
      </w:pPr>
      <w:rPr>
        <w:rFonts w:ascii="Courier New" w:hAnsi="Courier New" w:cs="Courier New" w:hint="default"/>
      </w:rPr>
    </w:lvl>
    <w:lvl w:ilvl="1" w:tplc="20B8AD6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3C84FA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A3ACDA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8828F36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CF67C8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07C0AC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8FE192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C9868C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 w15:restartNumberingAfterBreak="0">
    <w:nsid w:val="63E05DDC"/>
    <w:multiLevelType w:val="hybridMultilevel"/>
    <w:tmpl w:val="296A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33C6"/>
    <w:multiLevelType w:val="hybridMultilevel"/>
    <w:tmpl w:val="BC6E6394"/>
    <w:lvl w:ilvl="0" w:tplc="7EBEAC9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7DAA624A">
      <w:start w:val="1"/>
      <w:numFmt w:val="lowerLetter"/>
      <w:lvlText w:val="%2."/>
      <w:lvlJc w:val="left"/>
      <w:pPr>
        <w:ind w:left="1440" w:hanging="359"/>
      </w:pPr>
    </w:lvl>
    <w:lvl w:ilvl="2" w:tplc="14CA088E">
      <w:start w:val="1"/>
      <w:numFmt w:val="lowerRoman"/>
      <w:lvlText w:val="%3."/>
      <w:lvlJc w:val="right"/>
      <w:pPr>
        <w:ind w:left="2160" w:hanging="179"/>
      </w:pPr>
    </w:lvl>
    <w:lvl w:ilvl="3" w:tplc="6C185658">
      <w:start w:val="1"/>
      <w:numFmt w:val="decimal"/>
      <w:lvlText w:val="%4."/>
      <w:lvlJc w:val="left"/>
      <w:pPr>
        <w:ind w:left="2880" w:hanging="359"/>
      </w:pPr>
    </w:lvl>
    <w:lvl w:ilvl="4" w:tplc="EEB06AFA">
      <w:start w:val="1"/>
      <w:numFmt w:val="lowerLetter"/>
      <w:lvlText w:val="%5."/>
      <w:lvlJc w:val="left"/>
      <w:pPr>
        <w:ind w:left="3600" w:hanging="359"/>
      </w:pPr>
    </w:lvl>
    <w:lvl w:ilvl="5" w:tplc="5E8EC9C6">
      <w:start w:val="1"/>
      <w:numFmt w:val="lowerRoman"/>
      <w:lvlText w:val="%6."/>
      <w:lvlJc w:val="right"/>
      <w:pPr>
        <w:ind w:left="4320" w:hanging="179"/>
      </w:pPr>
    </w:lvl>
    <w:lvl w:ilvl="6" w:tplc="3C62F230">
      <w:start w:val="1"/>
      <w:numFmt w:val="decimal"/>
      <w:lvlText w:val="%7."/>
      <w:lvlJc w:val="left"/>
      <w:pPr>
        <w:ind w:left="5040" w:hanging="359"/>
      </w:pPr>
    </w:lvl>
    <w:lvl w:ilvl="7" w:tplc="AAC85978">
      <w:start w:val="1"/>
      <w:numFmt w:val="lowerLetter"/>
      <w:lvlText w:val="%8."/>
      <w:lvlJc w:val="left"/>
      <w:pPr>
        <w:ind w:left="5760" w:hanging="359"/>
      </w:pPr>
    </w:lvl>
    <w:lvl w:ilvl="8" w:tplc="AA38ACE0">
      <w:start w:val="1"/>
      <w:numFmt w:val="lowerRoman"/>
      <w:lvlText w:val="%9."/>
      <w:lvlJc w:val="right"/>
      <w:pPr>
        <w:ind w:left="6480" w:hanging="179"/>
      </w:pPr>
    </w:lvl>
  </w:abstractNum>
  <w:abstractNum w:abstractNumId="8" w15:restartNumberingAfterBreak="0">
    <w:nsid w:val="6E032CC0"/>
    <w:multiLevelType w:val="hybridMultilevel"/>
    <w:tmpl w:val="04E89292"/>
    <w:lvl w:ilvl="0" w:tplc="8ED4012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81ECA88C">
      <w:start w:val="1"/>
      <w:numFmt w:val="lowerLetter"/>
      <w:lvlText w:val="%2."/>
      <w:lvlJc w:val="left"/>
      <w:pPr>
        <w:ind w:left="1440" w:hanging="359"/>
      </w:pPr>
    </w:lvl>
    <w:lvl w:ilvl="2" w:tplc="7C22C004">
      <w:start w:val="1"/>
      <w:numFmt w:val="lowerRoman"/>
      <w:lvlText w:val="%3."/>
      <w:lvlJc w:val="right"/>
      <w:pPr>
        <w:ind w:left="2160" w:hanging="179"/>
      </w:pPr>
    </w:lvl>
    <w:lvl w:ilvl="3" w:tplc="D9FE84CA">
      <w:start w:val="1"/>
      <w:numFmt w:val="decimal"/>
      <w:lvlText w:val="%4."/>
      <w:lvlJc w:val="left"/>
      <w:pPr>
        <w:ind w:left="2880" w:hanging="359"/>
      </w:pPr>
    </w:lvl>
    <w:lvl w:ilvl="4" w:tplc="DF56853E">
      <w:start w:val="1"/>
      <w:numFmt w:val="lowerLetter"/>
      <w:lvlText w:val="%5."/>
      <w:lvlJc w:val="left"/>
      <w:pPr>
        <w:ind w:left="3600" w:hanging="359"/>
      </w:pPr>
    </w:lvl>
    <w:lvl w:ilvl="5" w:tplc="2C02933E">
      <w:start w:val="1"/>
      <w:numFmt w:val="lowerRoman"/>
      <w:lvlText w:val="%6."/>
      <w:lvlJc w:val="right"/>
      <w:pPr>
        <w:ind w:left="4320" w:hanging="179"/>
      </w:pPr>
    </w:lvl>
    <w:lvl w:ilvl="6" w:tplc="16B6AC4C">
      <w:start w:val="1"/>
      <w:numFmt w:val="decimal"/>
      <w:lvlText w:val="%7."/>
      <w:lvlJc w:val="left"/>
      <w:pPr>
        <w:ind w:left="5040" w:hanging="359"/>
      </w:pPr>
    </w:lvl>
    <w:lvl w:ilvl="7" w:tplc="6EE49844">
      <w:start w:val="1"/>
      <w:numFmt w:val="lowerLetter"/>
      <w:lvlText w:val="%8."/>
      <w:lvlJc w:val="left"/>
      <w:pPr>
        <w:ind w:left="5760" w:hanging="359"/>
      </w:pPr>
    </w:lvl>
    <w:lvl w:ilvl="8" w:tplc="E458942E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631"/>
    <w:rsid w:val="005157EE"/>
    <w:rsid w:val="005340DB"/>
    <w:rsid w:val="005D2B67"/>
    <w:rsid w:val="008068D4"/>
    <w:rsid w:val="009962F1"/>
    <w:rsid w:val="009D6631"/>
    <w:rsid w:val="009F408B"/>
    <w:rsid w:val="00B41F3A"/>
    <w:rsid w:val="00B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7AA32C"/>
  <w15:docId w15:val="{11424DB6-7786-47B6-BD87-0812C1C7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sl-SI" w:eastAsia="sl-SI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GlavaZnak">
    <w:name w:val="Glava Znak"/>
    <w:uiPriority w:val="99"/>
    <w:rPr>
      <w:sz w:val="22"/>
      <w:szCs w:val="22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NogaZnak">
    <w:name w:val="Noga Znak"/>
    <w:uiPriority w:val="99"/>
    <w:rPr>
      <w:sz w:val="22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one" w:sz="4" w:space="0" w:color="000000"/>
          <w:bottom w:val="single" w:sz="8" w:space="0" w:color="4F81B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one" w:sz="4" w:space="0" w:color="000000"/>
          <w:bottom w:val="single" w:sz="8" w:space="0" w:color="4F81B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one" w:sz="4" w:space="0" w:color="000000"/>
          <w:bottom w:val="single" w:sz="8" w:space="0" w:color="C0504D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one" w:sz="4" w:space="0" w:color="000000"/>
          <w:bottom w:val="single" w:sz="8" w:space="0" w:color="8064A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one" w:sz="4" w:space="0" w:color="000000"/>
          <w:bottom w:val="single" w:sz="8" w:space="0" w:color="8064A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one" w:sz="4" w:space="0" w:color="000000"/>
          <w:bottom w:val="single" w:sz="8" w:space="0" w:color="4BACC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one" w:sz="4" w:space="0" w:color="000000"/>
          <w:bottom w:val="single" w:sz="8" w:space="0" w:color="4BACC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/>
      </w:tcPr>
    </w:tblStyle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DefaultParagraphFon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ZadevakomentarjaZnak">
    <w:name w:val="Zadeva komentarja Znak"/>
    <w:basedOn w:val="Komentar-besediloZnak"/>
    <w:uiPriority w:val="99"/>
    <w:semiHidden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Maja</cp:lastModifiedBy>
  <cp:revision>6</cp:revision>
  <dcterms:created xsi:type="dcterms:W3CDTF">2018-07-13T09:02:00Z</dcterms:created>
  <dcterms:modified xsi:type="dcterms:W3CDTF">2018-07-31T07:59:00Z</dcterms:modified>
</cp:coreProperties>
</file>