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7777777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51AF1CE4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>Ponudnik pripravi ponudbeni predračun, v katerem navede ponudbene cene v EUR  po specifikacijah navedenih v nadaljevanju in okvirne ponudbene vrednosti ter skupno okvirno ponudbeno vrednost razpisanih storitev za obdobje štirih let.</w:t>
      </w:r>
    </w:p>
    <w:p w14:paraId="45F446C6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29"/>
        <w:gridCol w:w="1398"/>
        <w:gridCol w:w="1134"/>
        <w:gridCol w:w="1285"/>
        <w:gridCol w:w="1232"/>
        <w:gridCol w:w="993"/>
      </w:tblGrid>
      <w:tr w:rsidR="004A68F6" w14:paraId="4336D920" w14:textId="732CF7FA" w:rsidTr="009D266B">
        <w:tc>
          <w:tcPr>
            <w:tcW w:w="817" w:type="dxa"/>
            <w:shd w:val="clear" w:color="auto" w:fill="FFC000" w:themeFill="accent4"/>
          </w:tcPr>
          <w:p w14:paraId="759664F4" w14:textId="1BC8D924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proofErr w:type="spellStart"/>
            <w:r w:rsidRPr="004A68F6">
              <w:rPr>
                <w:rFonts w:ascii="Tahoma" w:eastAsia="Calibri" w:hAnsi="Tahoma" w:cs="Tahoma"/>
                <w:sz w:val="18"/>
                <w:szCs w:val="28"/>
              </w:rPr>
              <w:t>Zap</w:t>
            </w:r>
            <w:proofErr w:type="spellEnd"/>
            <w:r w:rsidRPr="004A68F6">
              <w:rPr>
                <w:rFonts w:ascii="Tahoma" w:eastAsia="Calibri" w:hAnsi="Tahoma" w:cs="Tahoma"/>
                <w:sz w:val="18"/>
                <w:szCs w:val="28"/>
              </w:rPr>
              <w:t>.št.</w:t>
            </w:r>
          </w:p>
        </w:tc>
        <w:tc>
          <w:tcPr>
            <w:tcW w:w="2429" w:type="dxa"/>
            <w:shd w:val="clear" w:color="auto" w:fill="FFC000" w:themeFill="accent4"/>
          </w:tcPr>
          <w:p w14:paraId="25ABE332" w14:textId="033EED55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Opis</w:t>
            </w:r>
          </w:p>
        </w:tc>
        <w:tc>
          <w:tcPr>
            <w:tcW w:w="1398" w:type="dxa"/>
            <w:shd w:val="clear" w:color="auto" w:fill="FFC000" w:themeFill="accent4"/>
          </w:tcPr>
          <w:p w14:paraId="4E37C70F" w14:textId="202392A6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Cena na Enoto mere izražena v EUR brez DDV</w:t>
            </w:r>
          </w:p>
        </w:tc>
        <w:tc>
          <w:tcPr>
            <w:tcW w:w="1134" w:type="dxa"/>
            <w:shd w:val="clear" w:color="auto" w:fill="FFC000" w:themeFill="accent4"/>
          </w:tcPr>
          <w:p w14:paraId="4CDC78BE" w14:textId="0FBDA9B3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Letni strošek Izražen v EUR brez DDV</w:t>
            </w:r>
          </w:p>
        </w:tc>
        <w:tc>
          <w:tcPr>
            <w:tcW w:w="1285" w:type="dxa"/>
            <w:shd w:val="clear" w:color="auto" w:fill="FFC000" w:themeFill="accent4"/>
          </w:tcPr>
          <w:p w14:paraId="4AD927CB" w14:textId="0C592666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Letni strošek izražen v EUR z DDV</w:t>
            </w:r>
          </w:p>
        </w:tc>
        <w:tc>
          <w:tcPr>
            <w:tcW w:w="1232" w:type="dxa"/>
            <w:shd w:val="clear" w:color="auto" w:fill="FFC000" w:themeFill="accent4"/>
          </w:tcPr>
          <w:p w14:paraId="4110F940" w14:textId="4B605CE9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Štiri (4) letni strošek izražen v EUR brez DDV</w:t>
            </w:r>
          </w:p>
        </w:tc>
        <w:tc>
          <w:tcPr>
            <w:tcW w:w="993" w:type="dxa"/>
            <w:shd w:val="clear" w:color="auto" w:fill="FFC000" w:themeFill="accent4"/>
          </w:tcPr>
          <w:p w14:paraId="1F3232C6" w14:textId="5322DFCF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Štiri (4) letni strošek izražen V EUR z DDV</w:t>
            </w:r>
          </w:p>
        </w:tc>
      </w:tr>
      <w:tr w:rsidR="004A68F6" w14:paraId="080F55C6" w14:textId="63D2A0A2" w:rsidTr="009D266B">
        <w:tc>
          <w:tcPr>
            <w:tcW w:w="817" w:type="dxa"/>
          </w:tcPr>
          <w:p w14:paraId="2A348867" w14:textId="509853D1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2429" w:type="dxa"/>
          </w:tcPr>
          <w:p w14:paraId="3C61A0D9" w14:textId="2FFB5828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11-ih popravil/letno opreme po seznamu z obračunanimi štirimi delovnimi urami izvedenimi v rednem delovnem času med 7:00 in 15:00 uro (=11x4 ure)</w:t>
            </w:r>
          </w:p>
        </w:tc>
        <w:tc>
          <w:tcPr>
            <w:tcW w:w="1398" w:type="dxa"/>
          </w:tcPr>
          <w:p w14:paraId="08647EF9" w14:textId="5871BBC4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(ura)</w:t>
            </w:r>
          </w:p>
        </w:tc>
        <w:tc>
          <w:tcPr>
            <w:tcW w:w="1134" w:type="dxa"/>
          </w:tcPr>
          <w:p w14:paraId="1267DDA4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85" w:type="dxa"/>
          </w:tcPr>
          <w:p w14:paraId="13C32EEB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1232" w:type="dxa"/>
          </w:tcPr>
          <w:p w14:paraId="35AEA57C" w14:textId="07D865B9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993" w:type="dxa"/>
          </w:tcPr>
          <w:p w14:paraId="2269445D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4A68F6" w14:paraId="40398090" w14:textId="3B7071A3" w:rsidTr="009D266B">
        <w:tc>
          <w:tcPr>
            <w:tcW w:w="817" w:type="dxa"/>
          </w:tcPr>
          <w:p w14:paraId="4F5A4A98" w14:textId="7ED45D40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2</w:t>
            </w:r>
          </w:p>
        </w:tc>
        <w:tc>
          <w:tcPr>
            <w:tcW w:w="2429" w:type="dxa"/>
          </w:tcPr>
          <w:p w14:paraId="55EC95DD" w14:textId="7F3CD458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Cena dveh nujnih (urgentnih) popravil/letno z obračunanimi štirimi nujnimi (urgentnimi) delovnimi urami (=2x4 ure)</w:t>
            </w:r>
          </w:p>
        </w:tc>
        <w:tc>
          <w:tcPr>
            <w:tcW w:w="1398" w:type="dxa"/>
          </w:tcPr>
          <w:p w14:paraId="703E27A8" w14:textId="1E3D21C0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(ura)</w:t>
            </w:r>
          </w:p>
        </w:tc>
        <w:tc>
          <w:tcPr>
            <w:tcW w:w="1134" w:type="dxa"/>
          </w:tcPr>
          <w:p w14:paraId="1B845936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85" w:type="dxa"/>
          </w:tcPr>
          <w:p w14:paraId="0AC53122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32" w:type="dxa"/>
          </w:tcPr>
          <w:p w14:paraId="3F5F25CA" w14:textId="41EBB680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993" w:type="dxa"/>
          </w:tcPr>
          <w:p w14:paraId="63C4497D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4A68F6" w14:paraId="0292F76D" w14:textId="7C4420FD" w:rsidTr="009D266B">
        <w:tc>
          <w:tcPr>
            <w:tcW w:w="817" w:type="dxa"/>
          </w:tcPr>
          <w:p w14:paraId="7905E768" w14:textId="340A68C5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3</w:t>
            </w:r>
          </w:p>
        </w:tc>
        <w:tc>
          <w:tcPr>
            <w:tcW w:w="2429" w:type="dxa"/>
          </w:tcPr>
          <w:p w14:paraId="728B6B7A" w14:textId="56BC0F4A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 xml:space="preserve">Ceno potovalnih ur/leto in prevozne stroške na relaciji naročnik/izvajalec (=13x predvideno število potovalnih ur) </w:t>
            </w:r>
          </w:p>
        </w:tc>
        <w:tc>
          <w:tcPr>
            <w:tcW w:w="1398" w:type="dxa"/>
          </w:tcPr>
          <w:p w14:paraId="69A71A55" w14:textId="07A36CB8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(potovalna ura z vključenimi potovalnimi stroški)</w:t>
            </w:r>
          </w:p>
        </w:tc>
        <w:tc>
          <w:tcPr>
            <w:tcW w:w="1134" w:type="dxa"/>
          </w:tcPr>
          <w:p w14:paraId="4AAA2830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85" w:type="dxa"/>
          </w:tcPr>
          <w:p w14:paraId="2D727270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32" w:type="dxa"/>
          </w:tcPr>
          <w:p w14:paraId="7CD49632" w14:textId="49FA96A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993" w:type="dxa"/>
          </w:tcPr>
          <w:p w14:paraId="5CB28F48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4A68F6" w14:paraId="5FA0F463" w14:textId="492FA349" w:rsidTr="009D266B">
        <w:tc>
          <w:tcPr>
            <w:tcW w:w="817" w:type="dxa"/>
          </w:tcPr>
          <w:p w14:paraId="5B2ABC6E" w14:textId="0E62259C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4</w:t>
            </w:r>
          </w:p>
        </w:tc>
        <w:tc>
          <w:tcPr>
            <w:tcW w:w="2429" w:type="dxa"/>
          </w:tcPr>
          <w:p w14:paraId="118BABC5" w14:textId="238E725D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 xml:space="preserve">Kilometrina na relaciji naročnik/izvajalec (=13x </w:t>
            </w:r>
            <w:proofErr w:type="spellStart"/>
            <w:r w:rsidRPr="004A68F6">
              <w:rPr>
                <w:rFonts w:ascii="Tahoma" w:eastAsia="Calibri" w:hAnsi="Tahoma" w:cs="Tahoma"/>
                <w:sz w:val="18"/>
                <w:szCs w:val="28"/>
              </w:rPr>
              <w:t>predcideno</w:t>
            </w:r>
            <w:proofErr w:type="spellEnd"/>
            <w:r w:rsidRPr="004A68F6">
              <w:rPr>
                <w:rFonts w:ascii="Tahoma" w:eastAsia="Calibri" w:hAnsi="Tahoma" w:cs="Tahoma"/>
                <w:sz w:val="18"/>
                <w:szCs w:val="28"/>
              </w:rPr>
              <w:t xml:space="preserve"> število km na relaciji)</w:t>
            </w:r>
          </w:p>
        </w:tc>
        <w:tc>
          <w:tcPr>
            <w:tcW w:w="1398" w:type="dxa"/>
          </w:tcPr>
          <w:p w14:paraId="36496CF3" w14:textId="2AC61102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(kilometrina)</w:t>
            </w:r>
          </w:p>
        </w:tc>
        <w:tc>
          <w:tcPr>
            <w:tcW w:w="1134" w:type="dxa"/>
          </w:tcPr>
          <w:p w14:paraId="39E56B96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85" w:type="dxa"/>
          </w:tcPr>
          <w:p w14:paraId="168EC1DD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32" w:type="dxa"/>
          </w:tcPr>
          <w:p w14:paraId="315D3402" w14:textId="1A9D1080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993" w:type="dxa"/>
          </w:tcPr>
          <w:p w14:paraId="4397F119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4A68F6" w14:paraId="1479B2B0" w14:textId="37093429" w:rsidTr="00FE17D6">
        <w:tc>
          <w:tcPr>
            <w:tcW w:w="817" w:type="dxa"/>
          </w:tcPr>
          <w:p w14:paraId="3CCC54A1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429" w:type="dxa"/>
          </w:tcPr>
          <w:p w14:paraId="05D77617" w14:textId="6649958E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SKUPAJ</w:t>
            </w:r>
          </w:p>
        </w:tc>
        <w:tc>
          <w:tcPr>
            <w:tcW w:w="1398" w:type="dxa"/>
          </w:tcPr>
          <w:p w14:paraId="35D9FC6A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134" w:type="dxa"/>
            <w:shd w:val="clear" w:color="auto" w:fill="FFC000" w:themeFill="accent4"/>
          </w:tcPr>
          <w:p w14:paraId="06B540DC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85" w:type="dxa"/>
            <w:shd w:val="clear" w:color="auto" w:fill="FFC000" w:themeFill="accent4"/>
          </w:tcPr>
          <w:p w14:paraId="63198CFB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32" w:type="dxa"/>
            <w:shd w:val="clear" w:color="auto" w:fill="FFC000" w:themeFill="accent4"/>
          </w:tcPr>
          <w:p w14:paraId="7285DCEF" w14:textId="7DAFFA12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993" w:type="dxa"/>
            <w:shd w:val="clear" w:color="auto" w:fill="FFC000" w:themeFill="accent4"/>
          </w:tcPr>
          <w:p w14:paraId="7722C7D5" w14:textId="77777777" w:rsidR="004A68F6" w:rsidRPr="004A68F6" w:rsidRDefault="004A68F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</w:tbl>
    <w:p w14:paraId="0CC479E8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0C4D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C4DED" w16cid:durableId="1EB8F9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2A442E"/>
    <w:rsid w:val="002D739C"/>
    <w:rsid w:val="004A68F6"/>
    <w:rsid w:val="00645BAD"/>
    <w:rsid w:val="009D266B"/>
    <w:rsid w:val="00A22199"/>
    <w:rsid w:val="00AB09D2"/>
    <w:rsid w:val="00B44BEA"/>
    <w:rsid w:val="00D41AA0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2018-06-01T08:46:00Z</dcterms:created>
  <dcterms:modified xsi:type="dcterms:W3CDTF">2018-07-16T11:01:00Z</dcterms:modified>
</cp:coreProperties>
</file>