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  <w:bookmarkStart w:id="0" w:name="_GoBack"/>
      <w:bookmarkEnd w:id="0"/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DB256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F23342E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DB2568">
              <w:rPr>
                <w:rFonts w:ascii="Tahoma" w:eastAsia="Calibri" w:hAnsi="Tahoma" w:cs="Tahoma"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sz w:val="18"/>
                <w:szCs w:val="18"/>
              </w:rPr>
              <w:t>0-2/2017</w:t>
            </w:r>
          </w:p>
        </w:tc>
      </w:tr>
      <w:tr w:rsidR="00F96AD8" w:rsidRPr="00F96AD8" w14:paraId="62FF9761" w14:textId="77777777" w:rsidTr="00DB256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618D037" w:rsidR="00F96AD8" w:rsidRPr="00F96AD8" w:rsidRDefault="00DB256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B2568">
              <w:rPr>
                <w:rFonts w:ascii="Tahoma" w:eastAsia="Calibri" w:hAnsi="Tahoma" w:cs="Tahoma"/>
                <w:sz w:val="18"/>
                <w:szCs w:val="18"/>
              </w:rPr>
              <w:t xml:space="preserve">Nujna nabava osnovnih sredstev za kuhinjo- ponovitev </w:t>
            </w:r>
          </w:p>
        </w:tc>
      </w:tr>
    </w:tbl>
    <w:p w14:paraId="0134CEEA" w14:textId="77777777" w:rsidR="00DB2568" w:rsidRPr="00DB2568" w:rsidRDefault="00DB2568" w:rsidP="00DB256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B2568">
        <w:rPr>
          <w:rFonts w:ascii="Tahoma" w:eastAsia="Calibri" w:hAnsi="Tahoma" w:cs="Tahoma"/>
          <w:sz w:val="18"/>
          <w:szCs w:val="18"/>
        </w:rPr>
        <w:t xml:space="preserve">skladno z določili dokumentacije v zvezi z oddajo javnega naročila in ponudbe za predmetno javno naročilo, brez poprejšnjega obvestila izpolni v vseh neizpolnjenih delih največ do zneska     </w:t>
      </w:r>
      <w:r w:rsidRPr="00DB2568">
        <w:rPr>
          <w:rFonts w:ascii="Tahoma" w:eastAsia="Calibri" w:hAnsi="Tahoma" w:cs="Tahoma"/>
          <w:sz w:val="18"/>
          <w:szCs w:val="18"/>
        </w:rPr>
        <w:tab/>
        <w:t xml:space="preserve">  EUR (največ 10% pogodbene vrednosti z DDV) z veljavnostjo do _____________.</w:t>
      </w:r>
    </w:p>
    <w:p w14:paraId="61F2AA5E" w14:textId="77777777" w:rsidR="00DB2568" w:rsidRPr="00DB2568" w:rsidRDefault="00DB2568" w:rsidP="00DB256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B256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357EBD4E" w14:textId="77777777" w:rsidR="00DB2568" w:rsidRPr="00DB2568" w:rsidRDefault="00DB2568" w:rsidP="00DB256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B256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76F8BF14" w14:textId="5A312084" w:rsidR="00F96AD8" w:rsidRPr="00F96AD8" w:rsidRDefault="00DB2568" w:rsidP="00DB256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DB256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  <w:r w:rsidR="00F96AD8"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D8"/>
    <w:rsid w:val="000078B7"/>
    <w:rsid w:val="000115B1"/>
    <w:rsid w:val="00041637"/>
    <w:rsid w:val="00043F34"/>
    <w:rsid w:val="000751C8"/>
    <w:rsid w:val="00097349"/>
    <w:rsid w:val="000D7957"/>
    <w:rsid w:val="0012790B"/>
    <w:rsid w:val="00133634"/>
    <w:rsid w:val="001543FD"/>
    <w:rsid w:val="00155AF0"/>
    <w:rsid w:val="001E2FFD"/>
    <w:rsid w:val="002200DA"/>
    <w:rsid w:val="002201A8"/>
    <w:rsid w:val="00292BDE"/>
    <w:rsid w:val="002E008F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B2568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2017-06-19T09:34:00Z</dcterms:created>
  <dcterms:modified xsi:type="dcterms:W3CDTF">2017-06-29T05:55:00Z</dcterms:modified>
</cp:coreProperties>
</file>