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F64DB">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F64DB">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F64D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AF64DB">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AF64DB">
              <w:rPr>
                <w:rFonts w:ascii="Verdana" w:hAnsi="Verdana"/>
                <w:sz w:val="20"/>
                <w:szCs w:val="20"/>
                <w:lang w:val="sl-SI"/>
              </w:rPr>
              <w:t>5055695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AF64DB">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F64DB">
              <w:rPr>
                <w:rFonts w:ascii="Verdana" w:hAnsi="Verdana"/>
                <w:sz w:val="20"/>
                <w:szCs w:val="20"/>
                <w:lang w:val="sl-SI"/>
              </w:rPr>
              <w:t xml:space="preserve">prim. Nataša Fikfak, dr. med., spec. </w:t>
            </w:r>
            <w:proofErr w:type="spellStart"/>
            <w:r w:rsidR="00AF64DB">
              <w:rPr>
                <w:rFonts w:ascii="Verdana" w:hAnsi="Verdana"/>
                <w:sz w:val="20"/>
                <w:szCs w:val="20"/>
                <w:lang w:val="sl-SI"/>
              </w:rPr>
              <w:t>int</w:t>
            </w:r>
            <w:proofErr w:type="spellEnd"/>
            <w:r w:rsidR="00AF64DB">
              <w:rPr>
                <w:rFonts w:ascii="Verdana" w:hAnsi="Verdana"/>
                <w:sz w:val="20"/>
                <w:szCs w:val="20"/>
                <w:lang w:val="sl-SI"/>
              </w:rPr>
              <w:t xml:space="preserve">. med. in </w:t>
            </w:r>
            <w:proofErr w:type="spellStart"/>
            <w:r w:rsidR="00AF64DB">
              <w:rPr>
                <w:rFonts w:ascii="Verdana" w:hAnsi="Verdana"/>
                <w:sz w:val="20"/>
                <w:szCs w:val="20"/>
                <w:lang w:val="sl-SI"/>
              </w:rPr>
              <w:t>hemat</w:t>
            </w:r>
            <w:proofErr w:type="spellEnd"/>
            <w:r w:rsidR="00AF64DB">
              <w:rPr>
                <w:rFonts w:ascii="Verdana" w:hAnsi="Verdana"/>
                <w:sz w:val="20"/>
                <w:szCs w:val="20"/>
                <w:lang w:val="sl-SI"/>
              </w:rPr>
              <w:t>.</w:t>
            </w:r>
            <w:r>
              <w:rPr>
                <w:rFonts w:ascii="Verdana" w:hAnsi="Verdana"/>
                <w:sz w:val="20"/>
                <w:szCs w:val="20"/>
                <w:lang w:val="sl-SI"/>
              </w:rPr>
              <w:fldChar w:fldCharType="end"/>
            </w:r>
          </w:p>
        </w:tc>
      </w:tr>
    </w:tbl>
    <w:p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bl>
    <w:p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EE2FFA"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1166E0" w:rsidRPr="00523F86">
              <w:rPr>
                <w:rFonts w:ascii="Verdana" w:hAnsi="Verdana"/>
                <w:b/>
                <w:sz w:val="28"/>
                <w:szCs w:val="28"/>
                <w:lang w:val="sl-SI"/>
              </w:rPr>
              <w:t>&lt;predmet naročila&gt; številka &lt;številka pogodbe&gt;</w:t>
            </w:r>
          </w:p>
        </w:tc>
      </w:tr>
    </w:tbl>
    <w:p w:rsidR="001166E0" w:rsidRDefault="001166E0" w:rsidP="00B83186">
      <w:pPr>
        <w:widowControl w:val="0"/>
        <w:spacing w:after="0" w:line="240" w:lineRule="auto"/>
        <w:jc w:val="both"/>
        <w:rPr>
          <w:rFonts w:ascii="Verdana" w:hAnsi="Verdana"/>
          <w:sz w:val="20"/>
          <w:szCs w:val="28"/>
          <w:lang w:val="sl-SI"/>
        </w:rPr>
      </w:pPr>
    </w:p>
    <w:p w:rsidR="00900773" w:rsidRPr="0013138A" w:rsidRDefault="0090077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523F86" w:rsidRDefault="001166E0" w:rsidP="00B841C7">
            <w:pPr>
              <w:widowControl w:val="0"/>
              <w:spacing w:after="0" w:line="240" w:lineRule="auto"/>
              <w:jc w:val="both"/>
              <w:rPr>
                <w:rFonts w:ascii="Verdana" w:hAnsi="Verdana"/>
                <w:sz w:val="20"/>
                <w:szCs w:val="20"/>
                <w:lang w:val="sl-SI"/>
              </w:rPr>
            </w:pPr>
            <w:r>
              <w:rPr>
                <w:rFonts w:ascii="Verdana" w:hAnsi="Verdana"/>
                <w:noProof/>
                <w:sz w:val="20"/>
                <w:szCs w:val="20"/>
              </w:rPr>
              <w:fldChar w:fldCharType="begin"/>
            </w:r>
            <w:r w:rsidRPr="00DB0F3E">
              <w:rPr>
                <w:rFonts w:ascii="Verdana" w:hAnsi="Verdana"/>
                <w:noProof/>
                <w:sz w:val="20"/>
                <w:szCs w:val="20"/>
                <w:lang w:val="sl-SI"/>
              </w:rPr>
              <w:instrText xml:space="preserve"> DOCPROPERTY  "MFiles_P1045"  \* MERGEFORMAT </w:instrText>
            </w:r>
            <w:r>
              <w:rPr>
                <w:rFonts w:ascii="Verdana" w:hAnsi="Verdana"/>
                <w:noProof/>
                <w:sz w:val="20"/>
                <w:szCs w:val="20"/>
              </w:rPr>
              <w:fldChar w:fldCharType="end"/>
            </w:r>
            <w:r w:rsidRPr="00523F86">
              <w:rPr>
                <w:rFonts w:ascii="Verdana" w:hAnsi="Verdana"/>
                <w:sz w:val="20"/>
                <w:szCs w:val="20"/>
                <w:lang w:val="sl-SI"/>
              </w:rPr>
              <w:t>, objava na portal</w:t>
            </w:r>
            <w:r>
              <w:rPr>
                <w:rFonts w:ascii="Verdana" w:hAnsi="Verdana"/>
                <w:sz w:val="20"/>
                <w:szCs w:val="20"/>
                <w:lang w:val="sl-SI"/>
              </w:rPr>
              <w:t>u</w:t>
            </w:r>
            <w:r w:rsidRPr="00523F86">
              <w:rPr>
                <w:rFonts w:ascii="Verdana" w:hAnsi="Verdana"/>
                <w:sz w:val="20"/>
                <w:szCs w:val="20"/>
                <w:lang w:val="sl-SI"/>
              </w:rPr>
              <w:t xml:space="preserve"> e-naročanje dne </w:t>
            </w:r>
          </w:p>
        </w:tc>
      </w:tr>
    </w:tbl>
    <w:p w:rsidR="0013138A" w:rsidRDefault="0013138A" w:rsidP="0013138A">
      <w:pPr>
        <w:pStyle w:val="Odstavekseznama"/>
        <w:widowControl w:val="0"/>
        <w:spacing w:after="120" w:line="240" w:lineRule="auto"/>
        <w:rPr>
          <w:rFonts w:ascii="Verdana" w:hAnsi="Verdana"/>
          <w:sz w:val="20"/>
          <w:szCs w:val="20"/>
          <w:lang w:val="sl-SI"/>
        </w:rPr>
      </w:pPr>
    </w:p>
    <w:p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proofErr w:type="spellStart"/>
      <w:r w:rsidR="00B711F9">
        <w:t>n</w:t>
      </w:r>
      <w:r w:rsidR="00B711F9">
        <w:t>akup</w:t>
      </w:r>
      <w:proofErr w:type="spellEnd"/>
      <w:r w:rsidR="00B711F9">
        <w:t xml:space="preserve"> </w:t>
      </w:r>
      <w:proofErr w:type="spellStart"/>
      <w:r w:rsidR="00B711F9">
        <w:t>dveh</w:t>
      </w:r>
      <w:proofErr w:type="spellEnd"/>
      <w:r w:rsidR="00B711F9">
        <w:t xml:space="preserve"> </w:t>
      </w:r>
      <w:proofErr w:type="spellStart"/>
      <w:r w:rsidR="00B711F9">
        <w:t>ventilatorjev</w:t>
      </w:r>
      <w:proofErr w:type="spellEnd"/>
      <w:r w:rsidR="00B711F9">
        <w:t xml:space="preserve"> </w:t>
      </w:r>
      <w:proofErr w:type="spellStart"/>
      <w:r w:rsidR="00B711F9">
        <w:t>za</w:t>
      </w:r>
      <w:proofErr w:type="spellEnd"/>
      <w:r w:rsidR="00B711F9">
        <w:t xml:space="preserve"> </w:t>
      </w:r>
      <w:proofErr w:type="spellStart"/>
      <w:r w:rsidR="00B711F9">
        <w:t>mehansko</w:t>
      </w:r>
      <w:proofErr w:type="spellEnd"/>
      <w:r w:rsidR="00B711F9">
        <w:t xml:space="preserve"> </w:t>
      </w:r>
      <w:proofErr w:type="spellStart"/>
      <w:r w:rsidR="00B711F9">
        <w:t>predi</w:t>
      </w:r>
      <w:r w:rsidR="00B711F9">
        <w:t>havanje</w:t>
      </w:r>
      <w:proofErr w:type="spellEnd"/>
      <w:r w:rsidR="00B711F9">
        <w:t xml:space="preserve"> </w:t>
      </w:r>
      <w:proofErr w:type="spellStart"/>
      <w:r w:rsidR="00B711F9">
        <w:t>pljuč</w:t>
      </w:r>
      <w:proofErr w:type="spellEnd"/>
      <w:r w:rsidR="00B711F9">
        <w:t xml:space="preserve">, </w:t>
      </w:r>
      <w:proofErr w:type="spellStart"/>
      <w:r w:rsidR="00B711F9">
        <w:t>nakup</w:t>
      </w:r>
      <w:proofErr w:type="spellEnd"/>
      <w:r w:rsidR="00B711F9">
        <w:t xml:space="preserve"> </w:t>
      </w:r>
      <w:proofErr w:type="spellStart"/>
      <w:r w:rsidR="00B711F9">
        <w:t>transportnega</w:t>
      </w:r>
      <w:proofErr w:type="spellEnd"/>
      <w:r w:rsidR="00B711F9">
        <w:t xml:space="preserve"> </w:t>
      </w:r>
      <w:proofErr w:type="spellStart"/>
      <w:r w:rsidR="00B711F9">
        <w:t>v</w:t>
      </w:r>
      <w:r w:rsidR="00B711F9">
        <w:t>entilatorja</w:t>
      </w:r>
      <w:proofErr w:type="spellEnd"/>
      <w:r w:rsidR="00B711F9">
        <w:t>,</w:t>
      </w:r>
      <w:r w:rsidR="00B711F9">
        <w:t xml:space="preserve"> </w:t>
      </w:r>
      <w:proofErr w:type="spellStart"/>
      <w:r w:rsidR="00B711F9">
        <w:t>ter</w:t>
      </w:r>
      <w:proofErr w:type="spellEnd"/>
      <w:r w:rsidR="00B711F9">
        <w:t xml:space="preserve"> </w:t>
      </w:r>
      <w:proofErr w:type="spellStart"/>
      <w:r w:rsidR="00B711F9">
        <w:t>dveh</w:t>
      </w:r>
      <w:proofErr w:type="spellEnd"/>
      <w:r w:rsidR="00B711F9">
        <w:t xml:space="preserve"> </w:t>
      </w:r>
      <w:proofErr w:type="spellStart"/>
      <w:r w:rsidR="00B711F9">
        <w:t>delovn</w:t>
      </w:r>
      <w:r w:rsidR="00B711F9">
        <w:t>ih</w:t>
      </w:r>
      <w:proofErr w:type="spellEnd"/>
      <w:r w:rsidR="00B711F9">
        <w:t xml:space="preserve"> </w:t>
      </w:r>
      <w:proofErr w:type="spellStart"/>
      <w:r w:rsidR="00B711F9">
        <w:t>postaje</w:t>
      </w:r>
      <w:proofErr w:type="spellEnd"/>
      <w:r w:rsidR="00B711F9">
        <w:t xml:space="preserve"> </w:t>
      </w:r>
      <w:proofErr w:type="spellStart"/>
      <w:r w:rsidR="00B711F9">
        <w:t>za</w:t>
      </w:r>
      <w:proofErr w:type="spellEnd"/>
      <w:r w:rsidR="00B711F9">
        <w:t xml:space="preserve"> ZVP - </w:t>
      </w:r>
      <w:proofErr w:type="spellStart"/>
      <w:r w:rsidR="00B711F9">
        <w:t>zdravljenje</w:t>
      </w:r>
      <w:proofErr w:type="spellEnd"/>
      <w:r w:rsidR="00B711F9">
        <w:t xml:space="preserve"> z </w:t>
      </w:r>
      <w:proofErr w:type="spellStart"/>
      <w:r w:rsidR="00B711F9">
        <w:t>visokimi</w:t>
      </w:r>
      <w:proofErr w:type="spellEnd"/>
      <w:r w:rsidR="00B711F9">
        <w:t xml:space="preserve"> </w:t>
      </w:r>
      <w:proofErr w:type="spellStart"/>
      <w:r w:rsidR="00B711F9">
        <w:t>pretoki</w:t>
      </w:r>
      <w:proofErr w:type="spellEnd"/>
      <w:r w:rsidR="00B711F9">
        <w:t xml:space="preserve"> </w:t>
      </w:r>
      <w:proofErr w:type="spellStart"/>
      <w:r w:rsidR="00B711F9">
        <w:t>ogrete</w:t>
      </w:r>
      <w:proofErr w:type="spellEnd"/>
      <w:r w:rsidR="00B711F9">
        <w:t xml:space="preserve"> in </w:t>
      </w:r>
      <w:proofErr w:type="spellStart"/>
      <w:r w:rsidR="00B711F9">
        <w:t>navlažene</w:t>
      </w:r>
      <w:proofErr w:type="spellEnd"/>
      <w:r w:rsidR="00B711F9">
        <w:t xml:space="preserve"> </w:t>
      </w:r>
      <w:proofErr w:type="spellStart"/>
      <w:r w:rsidR="00B711F9">
        <w:t>mešanice</w:t>
      </w:r>
      <w:proofErr w:type="spellEnd"/>
      <w:r w:rsidR="00B711F9">
        <w:t xml:space="preserve"> </w:t>
      </w:r>
      <w:proofErr w:type="spellStart"/>
      <w:r w:rsidR="00B711F9">
        <w:t>zraka</w:t>
      </w:r>
      <w:proofErr w:type="spellEnd"/>
      <w:r w:rsidR="00B711F9">
        <w:t xml:space="preserve"> in </w:t>
      </w:r>
      <w:proofErr w:type="spellStart"/>
      <w:r w:rsidR="00B711F9">
        <w:t>kisika</w:t>
      </w:r>
      <w:proofErr w:type="spellEnd"/>
      <w:r w:rsidR="00B711F9">
        <w:t xml:space="preserve"> </w:t>
      </w:r>
      <w:proofErr w:type="spellStart"/>
      <w:r w:rsidR="00B711F9">
        <w:t>preko</w:t>
      </w:r>
      <w:proofErr w:type="spellEnd"/>
      <w:r w:rsidR="00B711F9">
        <w:t xml:space="preserve"> </w:t>
      </w:r>
      <w:proofErr w:type="spellStart"/>
      <w:r w:rsidR="00B711F9">
        <w:t>nosne</w:t>
      </w:r>
      <w:proofErr w:type="spellEnd"/>
      <w:r w:rsidR="00B711F9">
        <w:t xml:space="preserve"> </w:t>
      </w:r>
      <w:proofErr w:type="spellStart"/>
      <w:r w:rsidR="00B711F9">
        <w:t>kanile</w:t>
      </w:r>
      <w:proofErr w:type="spellEnd"/>
      <w:r w:rsidR="00B711F9">
        <w:t xml:space="preserve"> in </w:t>
      </w:r>
      <w:proofErr w:type="spellStart"/>
      <w:r w:rsidR="00B711F9">
        <w:t>nei</w:t>
      </w:r>
      <w:r w:rsidR="00B711F9">
        <w:t>nvazivne</w:t>
      </w:r>
      <w:proofErr w:type="spellEnd"/>
      <w:r w:rsidR="00B711F9">
        <w:t xml:space="preserve"> CPAP </w:t>
      </w:r>
      <w:proofErr w:type="spellStart"/>
      <w:r w:rsidR="00B711F9">
        <w:t>terapije</w:t>
      </w:r>
      <w:bookmarkStart w:id="0" w:name="_GoBack"/>
      <w:bookmarkEnd w:id="0"/>
      <w:proofErr w:type="spellEnd"/>
      <w:r w:rsidR="00B711F9">
        <w:t>.</w:t>
      </w:r>
    </w:p>
    <w:p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rsidR="00FF2E53"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rsidR="0013138A" w:rsidRPr="00092877" w:rsidRDefault="0013138A" w:rsidP="0013138A">
      <w:pPr>
        <w:pStyle w:val="Odstavekseznama"/>
        <w:widowControl w:val="0"/>
        <w:spacing w:before="120" w:after="120" w:line="240" w:lineRule="auto"/>
        <w:jc w:val="both"/>
        <w:rPr>
          <w:rFonts w:ascii="Verdana" w:hAnsi="Verdana"/>
          <w:sz w:val="20"/>
          <w:szCs w:val="28"/>
          <w:lang w:val="sl-SI"/>
        </w:rPr>
      </w:pPr>
    </w:p>
    <w:p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lastRenderedPageBreak/>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2111A4">
        <w:trPr>
          <w:trHeight w:val="20"/>
          <w:jc w:val="center"/>
        </w:trPr>
        <w:tc>
          <w:tcPr>
            <w:tcW w:w="9704" w:type="dxa"/>
            <w:shd w:val="clear" w:color="auto" w:fill="FAAA5A"/>
            <w:vAlign w:val="center"/>
          </w:tcPr>
          <w:p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B83186">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631"/>
        <w:gridCol w:w="1892"/>
        <w:gridCol w:w="1880"/>
        <w:gridCol w:w="1231"/>
      </w:tblGrid>
      <w:tr w:rsidR="00684CA2" w:rsidRPr="00400743" w:rsidTr="00684CA2">
        <w:trPr>
          <w:jc w:val="center"/>
        </w:trPr>
        <w:tc>
          <w:tcPr>
            <w:tcW w:w="4819" w:type="dxa"/>
            <w:tcBorders>
              <w:bottom w:val="single" w:sz="4" w:space="0" w:color="auto"/>
            </w:tcBorders>
            <w:shd w:val="clear" w:color="auto" w:fill="FAAA5A"/>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892" w:type="dxa"/>
            <w:tcBorders>
              <w:bottom w:val="single" w:sz="4" w:space="0" w:color="auto"/>
            </w:tcBorders>
            <w:shd w:val="clear" w:color="auto" w:fill="FAAA5A"/>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931" w:type="dxa"/>
            <w:shd w:val="clear" w:color="auto" w:fill="FAAA5A"/>
            <w:vAlign w:val="center"/>
          </w:tcPr>
          <w:p w:rsidR="00684CA2"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Pr>
                <w:rFonts w:ascii="Verdana" w:hAnsi="Verdana"/>
                <w:b/>
                <w:sz w:val="20"/>
                <w:szCs w:val="28"/>
                <w:lang w:val="sl-SI"/>
              </w:rPr>
              <w:t>za postavko</w:t>
            </w:r>
          </w:p>
          <w:p w:rsidR="00684CA2" w:rsidRPr="00400743"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 v EUR brez DDV</w:t>
            </w:r>
          </w:p>
        </w:tc>
        <w:tc>
          <w:tcPr>
            <w:tcW w:w="992" w:type="dxa"/>
            <w:shd w:val="clear" w:color="auto" w:fill="FAAA5A"/>
          </w:tcPr>
          <w:p w:rsidR="00684CA2" w:rsidRPr="00E83A6D" w:rsidRDefault="00684CA2" w:rsidP="00B841C7">
            <w:pPr>
              <w:widowControl w:val="0"/>
              <w:spacing w:after="0" w:line="240" w:lineRule="auto"/>
              <w:jc w:val="center"/>
              <w:rPr>
                <w:rFonts w:ascii="Verdana" w:hAnsi="Verdana"/>
                <w:b/>
                <w:sz w:val="20"/>
                <w:szCs w:val="28"/>
                <w:lang w:val="sl-SI"/>
              </w:rPr>
            </w:pPr>
            <w:r>
              <w:rPr>
                <w:rFonts w:ascii="Verdana" w:hAnsi="Verdana"/>
                <w:b/>
                <w:sz w:val="20"/>
                <w:szCs w:val="28"/>
                <w:lang w:val="sl-SI"/>
              </w:rPr>
              <w:t>Vrednost DDV</w:t>
            </w:r>
          </w:p>
        </w:tc>
      </w:tr>
      <w:tr w:rsidR="00684CA2" w:rsidRPr="00400743" w:rsidTr="00684CA2">
        <w:trPr>
          <w:jc w:val="center"/>
        </w:trPr>
        <w:tc>
          <w:tcPr>
            <w:tcW w:w="4819" w:type="dxa"/>
            <w:tcBorders>
              <w:bottom w:val="single" w:sz="4" w:space="0" w:color="auto"/>
              <w:right w:val="single" w:sz="4" w:space="0" w:color="auto"/>
            </w:tcBorders>
            <w:shd w:val="clear" w:color="auto" w:fill="FADC8C"/>
          </w:tcPr>
          <w:p w:rsidR="00684CA2" w:rsidRPr="00B13BC5" w:rsidRDefault="00B13BC5" w:rsidP="00B13BC5">
            <w:pPr>
              <w:pStyle w:val="Odstavekseznama"/>
              <w:widowControl w:val="0"/>
              <w:numPr>
                <w:ilvl w:val="0"/>
                <w:numId w:val="39"/>
              </w:numPr>
              <w:spacing w:after="0" w:line="240" w:lineRule="auto"/>
              <w:jc w:val="both"/>
              <w:rPr>
                <w:rFonts w:ascii="Verdana" w:hAnsi="Verdana"/>
                <w:sz w:val="20"/>
                <w:szCs w:val="28"/>
                <w:lang w:val="sl-SI"/>
              </w:rPr>
            </w:pPr>
            <w:r w:rsidRPr="00B13BC5">
              <w:rPr>
                <w:rFonts w:ascii="Verdana" w:hAnsi="Verdana"/>
                <w:sz w:val="20"/>
                <w:szCs w:val="28"/>
                <w:lang w:val="sl-SI"/>
              </w:rPr>
              <w:t>ventilator za mehansko predihavanje pljuč</w:t>
            </w:r>
          </w:p>
        </w:tc>
        <w:tc>
          <w:tcPr>
            <w:tcW w:w="1892" w:type="dxa"/>
            <w:tcBorders>
              <w:left w:val="single" w:sz="4" w:space="0" w:color="auto"/>
              <w:bottom w:val="single" w:sz="4" w:space="0" w:color="auto"/>
            </w:tcBorders>
            <w:shd w:val="clear" w:color="auto" w:fill="FADC8C"/>
          </w:tcPr>
          <w:p w:rsidR="00684CA2" w:rsidRPr="00400743" w:rsidRDefault="00AF64DB" w:rsidP="00B83186">
            <w:pPr>
              <w:widowControl w:val="0"/>
              <w:spacing w:after="0" w:line="240" w:lineRule="auto"/>
              <w:jc w:val="both"/>
              <w:rPr>
                <w:rFonts w:ascii="Verdana" w:hAnsi="Verdana"/>
                <w:sz w:val="20"/>
                <w:szCs w:val="28"/>
                <w:lang w:val="sl-SI"/>
              </w:rPr>
            </w:pPr>
            <w:r>
              <w:rPr>
                <w:rFonts w:ascii="Verdana" w:hAnsi="Verdana"/>
                <w:sz w:val="20"/>
                <w:szCs w:val="28"/>
                <w:lang w:val="sl-SI"/>
              </w:rPr>
              <w:t>2</w:t>
            </w:r>
          </w:p>
        </w:tc>
        <w:tc>
          <w:tcPr>
            <w:tcW w:w="1931"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992" w:type="dxa"/>
          </w:tcPr>
          <w:p w:rsidR="00684CA2" w:rsidRPr="00400743" w:rsidRDefault="00684CA2" w:rsidP="00B83186">
            <w:pPr>
              <w:widowControl w:val="0"/>
              <w:spacing w:after="0" w:line="240" w:lineRule="auto"/>
              <w:jc w:val="both"/>
              <w:rPr>
                <w:rFonts w:ascii="Verdana" w:hAnsi="Verdana"/>
                <w:sz w:val="20"/>
                <w:szCs w:val="28"/>
                <w:lang w:val="sl-SI"/>
              </w:rPr>
            </w:pPr>
          </w:p>
        </w:tc>
      </w:tr>
      <w:tr w:rsidR="00AF64DB" w:rsidRPr="00400743" w:rsidTr="00684CA2">
        <w:trPr>
          <w:jc w:val="center"/>
        </w:trPr>
        <w:tc>
          <w:tcPr>
            <w:tcW w:w="4819" w:type="dxa"/>
            <w:tcBorders>
              <w:bottom w:val="single" w:sz="4" w:space="0" w:color="auto"/>
              <w:right w:val="single" w:sz="4" w:space="0" w:color="auto"/>
            </w:tcBorders>
            <w:shd w:val="clear" w:color="auto" w:fill="FADC8C"/>
          </w:tcPr>
          <w:p w:rsidR="00AF64DB" w:rsidRPr="00B13BC5" w:rsidRDefault="00B13BC5" w:rsidP="00B13BC5">
            <w:pPr>
              <w:pStyle w:val="Odstavekseznama"/>
              <w:widowControl w:val="0"/>
              <w:numPr>
                <w:ilvl w:val="0"/>
                <w:numId w:val="39"/>
              </w:numPr>
              <w:spacing w:after="0" w:line="240" w:lineRule="auto"/>
              <w:jc w:val="both"/>
              <w:rPr>
                <w:rFonts w:ascii="Verdana" w:hAnsi="Verdana"/>
                <w:sz w:val="20"/>
                <w:szCs w:val="28"/>
                <w:lang w:val="sl-SI"/>
              </w:rPr>
            </w:pPr>
            <w:r w:rsidRPr="00B13BC5">
              <w:rPr>
                <w:rFonts w:ascii="Verdana" w:hAnsi="Verdana"/>
                <w:sz w:val="20"/>
                <w:szCs w:val="28"/>
                <w:lang w:val="sl-SI"/>
              </w:rPr>
              <w:t>ventilator  transportni</w:t>
            </w:r>
          </w:p>
        </w:tc>
        <w:tc>
          <w:tcPr>
            <w:tcW w:w="1892" w:type="dxa"/>
            <w:tcBorders>
              <w:left w:val="single" w:sz="4" w:space="0" w:color="auto"/>
              <w:bottom w:val="single" w:sz="4" w:space="0" w:color="auto"/>
            </w:tcBorders>
            <w:shd w:val="clear" w:color="auto" w:fill="FADC8C"/>
          </w:tcPr>
          <w:p w:rsidR="00AF64DB" w:rsidRDefault="00AF64DB" w:rsidP="00B83186">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1931" w:type="dxa"/>
            <w:shd w:val="clear" w:color="auto" w:fill="auto"/>
          </w:tcPr>
          <w:p w:rsidR="00AF64DB" w:rsidRPr="00400743" w:rsidRDefault="00AF64DB" w:rsidP="00B83186">
            <w:pPr>
              <w:widowControl w:val="0"/>
              <w:spacing w:after="0" w:line="240" w:lineRule="auto"/>
              <w:jc w:val="both"/>
              <w:rPr>
                <w:rFonts w:ascii="Verdana" w:hAnsi="Verdana"/>
                <w:sz w:val="20"/>
                <w:szCs w:val="28"/>
                <w:lang w:val="sl-SI"/>
              </w:rPr>
            </w:pPr>
          </w:p>
        </w:tc>
        <w:tc>
          <w:tcPr>
            <w:tcW w:w="992" w:type="dxa"/>
          </w:tcPr>
          <w:p w:rsidR="00AF64DB" w:rsidRPr="00400743" w:rsidRDefault="00AF64DB" w:rsidP="00B83186">
            <w:pPr>
              <w:widowControl w:val="0"/>
              <w:spacing w:after="0" w:line="240" w:lineRule="auto"/>
              <w:jc w:val="both"/>
              <w:rPr>
                <w:rFonts w:ascii="Verdana" w:hAnsi="Verdana"/>
                <w:sz w:val="20"/>
                <w:szCs w:val="28"/>
                <w:lang w:val="sl-SI"/>
              </w:rPr>
            </w:pPr>
          </w:p>
        </w:tc>
      </w:tr>
      <w:tr w:rsidR="00AF64DB" w:rsidRPr="00400743" w:rsidTr="00684CA2">
        <w:trPr>
          <w:jc w:val="center"/>
        </w:trPr>
        <w:tc>
          <w:tcPr>
            <w:tcW w:w="4819" w:type="dxa"/>
            <w:tcBorders>
              <w:bottom w:val="single" w:sz="4" w:space="0" w:color="auto"/>
              <w:right w:val="single" w:sz="4" w:space="0" w:color="auto"/>
            </w:tcBorders>
            <w:shd w:val="clear" w:color="auto" w:fill="FADC8C"/>
          </w:tcPr>
          <w:p w:rsidR="00AF64DB" w:rsidRPr="00B13BC5" w:rsidRDefault="00B13BC5" w:rsidP="00B13BC5">
            <w:pPr>
              <w:pStyle w:val="Odstavekseznama"/>
              <w:widowControl w:val="0"/>
              <w:numPr>
                <w:ilvl w:val="0"/>
                <w:numId w:val="39"/>
              </w:numPr>
              <w:spacing w:after="0" w:line="240" w:lineRule="auto"/>
              <w:jc w:val="both"/>
              <w:rPr>
                <w:rFonts w:ascii="Verdana" w:hAnsi="Verdana"/>
                <w:sz w:val="20"/>
                <w:szCs w:val="28"/>
                <w:lang w:val="sl-SI"/>
              </w:rPr>
            </w:pPr>
            <w:r w:rsidRPr="00B13BC5">
              <w:rPr>
                <w:rFonts w:ascii="Verdana" w:hAnsi="Verdana"/>
                <w:sz w:val="20"/>
                <w:szCs w:val="28"/>
                <w:lang w:val="sl-SI"/>
              </w:rPr>
              <w:t xml:space="preserve">delovna postaja za </w:t>
            </w:r>
            <w:proofErr w:type="spellStart"/>
            <w:r w:rsidRPr="00B13BC5">
              <w:rPr>
                <w:rFonts w:ascii="Verdana" w:hAnsi="Verdana"/>
                <w:sz w:val="20"/>
                <w:szCs w:val="28"/>
                <w:lang w:val="sl-SI"/>
              </w:rPr>
              <w:t>zvp</w:t>
            </w:r>
            <w:proofErr w:type="spellEnd"/>
            <w:r w:rsidRPr="00B13BC5">
              <w:rPr>
                <w:rFonts w:ascii="Verdana" w:hAnsi="Verdana"/>
                <w:sz w:val="20"/>
                <w:szCs w:val="28"/>
                <w:lang w:val="sl-SI"/>
              </w:rPr>
              <w:t>-zdravljenje</w:t>
            </w:r>
          </w:p>
        </w:tc>
        <w:tc>
          <w:tcPr>
            <w:tcW w:w="1892" w:type="dxa"/>
            <w:tcBorders>
              <w:left w:val="single" w:sz="4" w:space="0" w:color="auto"/>
              <w:bottom w:val="single" w:sz="4" w:space="0" w:color="auto"/>
            </w:tcBorders>
            <w:shd w:val="clear" w:color="auto" w:fill="FADC8C"/>
          </w:tcPr>
          <w:p w:rsidR="00AF64DB" w:rsidRDefault="00BA6266" w:rsidP="00B83186">
            <w:pPr>
              <w:widowControl w:val="0"/>
              <w:spacing w:after="0" w:line="240" w:lineRule="auto"/>
              <w:jc w:val="both"/>
              <w:rPr>
                <w:rFonts w:ascii="Verdana" w:hAnsi="Verdana"/>
                <w:sz w:val="20"/>
                <w:szCs w:val="28"/>
                <w:lang w:val="sl-SI"/>
              </w:rPr>
            </w:pPr>
            <w:r>
              <w:rPr>
                <w:rFonts w:ascii="Verdana" w:hAnsi="Verdana"/>
                <w:sz w:val="20"/>
                <w:szCs w:val="28"/>
                <w:lang w:val="sl-SI"/>
              </w:rPr>
              <w:t>2</w:t>
            </w:r>
          </w:p>
        </w:tc>
        <w:tc>
          <w:tcPr>
            <w:tcW w:w="1931" w:type="dxa"/>
            <w:shd w:val="clear" w:color="auto" w:fill="auto"/>
          </w:tcPr>
          <w:p w:rsidR="00AF64DB" w:rsidRPr="00400743" w:rsidRDefault="00AF64DB" w:rsidP="00B83186">
            <w:pPr>
              <w:widowControl w:val="0"/>
              <w:spacing w:after="0" w:line="240" w:lineRule="auto"/>
              <w:jc w:val="both"/>
              <w:rPr>
                <w:rFonts w:ascii="Verdana" w:hAnsi="Verdana"/>
                <w:sz w:val="20"/>
                <w:szCs w:val="28"/>
                <w:lang w:val="sl-SI"/>
              </w:rPr>
            </w:pPr>
          </w:p>
        </w:tc>
        <w:tc>
          <w:tcPr>
            <w:tcW w:w="992" w:type="dxa"/>
          </w:tcPr>
          <w:p w:rsidR="00AF64DB" w:rsidRPr="00400743" w:rsidRDefault="00AF64DB" w:rsidP="00B83186">
            <w:pPr>
              <w:widowControl w:val="0"/>
              <w:spacing w:after="0" w:line="240" w:lineRule="auto"/>
              <w:jc w:val="both"/>
              <w:rPr>
                <w:rFonts w:ascii="Verdana" w:hAnsi="Verdana"/>
                <w:sz w:val="20"/>
                <w:szCs w:val="28"/>
                <w:lang w:val="sl-SI"/>
              </w:rPr>
            </w:pPr>
          </w:p>
        </w:tc>
      </w:tr>
      <w:tr w:rsidR="00684CA2" w:rsidRPr="00400743" w:rsidTr="00684CA2">
        <w:trPr>
          <w:jc w:val="center"/>
        </w:trPr>
        <w:tc>
          <w:tcPr>
            <w:tcW w:w="4819" w:type="dxa"/>
            <w:tcBorders>
              <w:bottom w:val="single" w:sz="4" w:space="0" w:color="auto"/>
              <w:right w:val="single" w:sz="4" w:space="0" w:color="auto"/>
            </w:tcBorders>
            <w:shd w:val="clear" w:color="auto" w:fill="FADC8C"/>
          </w:tcPr>
          <w:p w:rsidR="00684CA2" w:rsidRPr="00400743" w:rsidRDefault="00684CA2" w:rsidP="00B83186">
            <w:pPr>
              <w:widowControl w:val="0"/>
              <w:spacing w:after="0" w:line="240" w:lineRule="auto"/>
              <w:jc w:val="both"/>
              <w:rPr>
                <w:rFonts w:ascii="Verdana" w:hAnsi="Verdana"/>
                <w:sz w:val="20"/>
                <w:szCs w:val="28"/>
                <w:lang w:val="sl-SI"/>
              </w:rPr>
            </w:pPr>
            <w:r>
              <w:rPr>
                <w:rFonts w:ascii="Verdana" w:hAnsi="Verdana"/>
                <w:sz w:val="20"/>
                <w:szCs w:val="28"/>
                <w:lang w:val="sl-SI"/>
              </w:rPr>
              <w:t>Dobava, inštalacija in zagon ventilatorjev na lokaciji naročnika z demonstracijo in inštrukcijami osebju naročnika</w:t>
            </w:r>
          </w:p>
        </w:tc>
        <w:tc>
          <w:tcPr>
            <w:tcW w:w="1892" w:type="dxa"/>
            <w:tcBorders>
              <w:left w:val="single" w:sz="4" w:space="0" w:color="auto"/>
              <w:bottom w:val="single" w:sz="4" w:space="0" w:color="auto"/>
            </w:tcBorders>
            <w:shd w:val="clear" w:color="auto" w:fill="FADC8C"/>
          </w:tcPr>
          <w:p w:rsidR="00684CA2" w:rsidRPr="00400743" w:rsidRDefault="00684CA2" w:rsidP="00B83186">
            <w:pPr>
              <w:widowControl w:val="0"/>
              <w:spacing w:after="0" w:line="240" w:lineRule="auto"/>
              <w:jc w:val="both"/>
              <w:rPr>
                <w:rFonts w:ascii="Verdana" w:hAnsi="Verdana"/>
                <w:sz w:val="20"/>
                <w:szCs w:val="28"/>
                <w:lang w:val="sl-SI"/>
              </w:rPr>
            </w:pPr>
            <w:r>
              <w:rPr>
                <w:rFonts w:ascii="Verdana" w:hAnsi="Verdana"/>
                <w:sz w:val="20"/>
                <w:szCs w:val="28"/>
                <w:lang w:val="sl-SI"/>
              </w:rPr>
              <w:t>storitve</w:t>
            </w:r>
          </w:p>
        </w:tc>
        <w:tc>
          <w:tcPr>
            <w:tcW w:w="1931"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992" w:type="dxa"/>
          </w:tcPr>
          <w:p w:rsidR="00684CA2" w:rsidRPr="00400743" w:rsidRDefault="00684CA2" w:rsidP="00B83186">
            <w:pPr>
              <w:widowControl w:val="0"/>
              <w:spacing w:after="0" w:line="240" w:lineRule="auto"/>
              <w:jc w:val="both"/>
              <w:rPr>
                <w:rFonts w:ascii="Verdana" w:hAnsi="Verdana"/>
                <w:sz w:val="20"/>
                <w:szCs w:val="28"/>
                <w:lang w:val="sl-SI"/>
              </w:rPr>
            </w:pPr>
          </w:p>
        </w:tc>
      </w:tr>
      <w:tr w:rsidR="00684CA2" w:rsidRPr="00400743" w:rsidTr="00684CA2">
        <w:trPr>
          <w:jc w:val="center"/>
        </w:trPr>
        <w:tc>
          <w:tcPr>
            <w:tcW w:w="4819" w:type="dxa"/>
            <w:tcBorders>
              <w:bottom w:val="single" w:sz="4" w:space="0" w:color="auto"/>
              <w:right w:val="single" w:sz="4" w:space="0" w:color="auto"/>
            </w:tcBorders>
            <w:shd w:val="clear" w:color="auto" w:fill="FADC8C"/>
          </w:tcPr>
          <w:p w:rsidR="00684CA2" w:rsidRDefault="00684CA2" w:rsidP="00B83186">
            <w:pPr>
              <w:widowControl w:val="0"/>
              <w:spacing w:after="0" w:line="240" w:lineRule="auto"/>
              <w:jc w:val="both"/>
              <w:rPr>
                <w:rFonts w:ascii="Verdana" w:hAnsi="Verdana"/>
                <w:sz w:val="20"/>
                <w:szCs w:val="28"/>
                <w:lang w:val="sl-SI"/>
              </w:rPr>
            </w:pPr>
            <w:r>
              <w:rPr>
                <w:rFonts w:ascii="Verdana" w:hAnsi="Verdana"/>
                <w:sz w:val="20"/>
                <w:szCs w:val="28"/>
                <w:lang w:val="sl-SI"/>
              </w:rPr>
              <w:t>Skupna cena potrebnega letnega preventivnega vzdrževanja (poseg, predvidena zamenjava delov, potni stroški, dnevnice) v času predvidene življenjske dobe 7 let</w:t>
            </w:r>
          </w:p>
        </w:tc>
        <w:tc>
          <w:tcPr>
            <w:tcW w:w="1892" w:type="dxa"/>
            <w:tcBorders>
              <w:left w:val="single" w:sz="4" w:space="0" w:color="auto"/>
              <w:bottom w:val="single" w:sz="4" w:space="0" w:color="auto"/>
            </w:tcBorders>
            <w:shd w:val="clear" w:color="auto" w:fill="FADC8C"/>
          </w:tcPr>
          <w:p w:rsidR="00684CA2" w:rsidRDefault="00684CA2" w:rsidP="00B83186">
            <w:pPr>
              <w:widowControl w:val="0"/>
              <w:spacing w:after="0" w:line="240" w:lineRule="auto"/>
              <w:jc w:val="both"/>
              <w:rPr>
                <w:rFonts w:ascii="Verdana" w:hAnsi="Verdana"/>
                <w:sz w:val="20"/>
                <w:szCs w:val="28"/>
                <w:lang w:val="sl-SI"/>
              </w:rPr>
            </w:pPr>
            <w:r>
              <w:rPr>
                <w:rFonts w:ascii="Verdana" w:hAnsi="Verdana"/>
                <w:sz w:val="20"/>
                <w:szCs w:val="28"/>
                <w:lang w:val="sl-SI"/>
              </w:rPr>
              <w:t>Preventivno vzdrževanje/leto</w:t>
            </w:r>
          </w:p>
        </w:tc>
        <w:tc>
          <w:tcPr>
            <w:tcW w:w="1931"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992" w:type="dxa"/>
          </w:tcPr>
          <w:p w:rsidR="00684CA2" w:rsidRPr="00400743" w:rsidRDefault="00684CA2" w:rsidP="00B83186">
            <w:pPr>
              <w:widowControl w:val="0"/>
              <w:spacing w:after="0" w:line="240" w:lineRule="auto"/>
              <w:jc w:val="both"/>
              <w:rPr>
                <w:rFonts w:ascii="Verdana" w:hAnsi="Verdana"/>
                <w:sz w:val="20"/>
                <w:szCs w:val="28"/>
                <w:lang w:val="sl-SI"/>
              </w:rPr>
            </w:pPr>
          </w:p>
        </w:tc>
      </w:tr>
      <w:tr w:rsidR="00684CA2" w:rsidRPr="00400743" w:rsidTr="008F3611">
        <w:trPr>
          <w:jc w:val="center"/>
        </w:trPr>
        <w:tc>
          <w:tcPr>
            <w:tcW w:w="6711" w:type="dxa"/>
            <w:gridSpan w:val="2"/>
            <w:shd w:val="clear" w:color="auto" w:fill="FADC8C"/>
          </w:tcPr>
          <w:p w:rsidR="00684CA2" w:rsidRPr="00B51360" w:rsidRDefault="00684CA2" w:rsidP="00B841C7">
            <w:pPr>
              <w:widowControl w:val="0"/>
              <w:spacing w:after="0" w:line="240" w:lineRule="auto"/>
              <w:jc w:val="right"/>
              <w:rPr>
                <w:rFonts w:ascii="Verdana" w:hAnsi="Verdana"/>
                <w:b/>
                <w:sz w:val="20"/>
                <w:szCs w:val="28"/>
                <w:lang w:val="sl-SI"/>
              </w:rPr>
            </w:pPr>
            <w:r>
              <w:rPr>
                <w:rFonts w:ascii="Verdana" w:hAnsi="Verdana"/>
                <w:b/>
                <w:sz w:val="20"/>
                <w:szCs w:val="28"/>
                <w:lang w:val="sl-SI"/>
              </w:rPr>
              <w:t>Cena skupaj brez DDV</w:t>
            </w:r>
          </w:p>
        </w:tc>
        <w:tc>
          <w:tcPr>
            <w:tcW w:w="2923" w:type="dxa"/>
            <w:gridSpan w:val="2"/>
            <w:shd w:val="clear" w:color="auto" w:fill="auto"/>
          </w:tcPr>
          <w:p w:rsidR="00684CA2" w:rsidRPr="00B51360" w:rsidRDefault="00684CA2" w:rsidP="00B83186">
            <w:pPr>
              <w:widowControl w:val="0"/>
              <w:spacing w:after="0" w:line="240" w:lineRule="auto"/>
              <w:jc w:val="both"/>
              <w:rPr>
                <w:rFonts w:ascii="Verdana" w:hAnsi="Verdana"/>
                <w:b/>
                <w:sz w:val="20"/>
                <w:szCs w:val="28"/>
                <w:lang w:val="sl-SI"/>
              </w:rPr>
            </w:pPr>
          </w:p>
        </w:tc>
      </w:tr>
    </w:tbl>
    <w:p w:rsidR="00684CA2" w:rsidRDefault="00684CA2"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Servisni posegi izven garancije se obračunajo po ceniku prodajalca.</w:t>
      </w:r>
    </w:p>
    <w:p w:rsidR="00C63DD1" w:rsidRPr="00B57C7C" w:rsidRDefault="00AF03F5"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rsidR="00F85C40" w:rsidRPr="00B57C7C" w:rsidRDefault="00F85C40" w:rsidP="00B83186">
      <w:pPr>
        <w:widowControl w:val="0"/>
        <w:spacing w:before="120" w:after="120" w:line="240" w:lineRule="auto"/>
        <w:jc w:val="both"/>
        <w:rPr>
          <w:rFonts w:ascii="Verdana" w:hAnsi="Verdana"/>
          <w:sz w:val="20"/>
          <w:szCs w:val="28"/>
          <w:lang w:val="sl-SI"/>
        </w:rPr>
      </w:pPr>
      <w:r w:rsidRPr="00684CA2">
        <w:rPr>
          <w:rFonts w:ascii="Verdana" w:hAnsi="Verdana"/>
          <w:sz w:val="20"/>
          <w:szCs w:val="28"/>
          <w:lang w:val="sl-SI"/>
        </w:rPr>
        <w:t>Naročnik bo za dodatne dobave blaga do maksimalne višine 30% vrednosti te pogodbe z izvajalcem sklenil aneks k pogodbi brez izvedbe novega postopka skladno z drugim odstavkom 95. člena ZJN-3.</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3098"/>
        <w:gridCol w:w="567"/>
        <w:gridCol w:w="1559"/>
        <w:gridCol w:w="2054"/>
      </w:tblGrid>
      <w:tr w:rsidR="0009002D" w:rsidRPr="00EE7B94" w:rsidTr="00973E80">
        <w:trPr>
          <w:trHeight w:val="20"/>
          <w:jc w:val="center"/>
        </w:trPr>
        <w:tc>
          <w:tcPr>
            <w:tcW w:w="2426" w:type="dxa"/>
            <w:gridSpan w:val="2"/>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4"/>
            <w:tcBorders>
              <w:bottom w:val="single" w:sz="4" w:space="0" w:color="auto"/>
            </w:tcBorders>
            <w:shd w:val="clear" w:color="auto" w:fill="FADC8C"/>
            <w:vAlign w:val="center"/>
          </w:tcPr>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Splošna bolnišnica dr. Franca Derganca Nova Gorica</w:t>
            </w:r>
          </w:p>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Ulica padlih borcev 13A</w:t>
            </w:r>
          </w:p>
          <w:p w:rsidR="0009002D" w:rsidRPr="00EE7B94"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5290 Šempeter pri Gorici</w:t>
            </w:r>
          </w:p>
        </w:tc>
      </w:tr>
      <w:tr w:rsidR="00CD3E7B" w:rsidRPr="00EE7B94" w:rsidTr="00CD3E7B">
        <w:trPr>
          <w:trHeight w:val="20"/>
          <w:jc w:val="center"/>
        </w:trPr>
        <w:tc>
          <w:tcPr>
            <w:tcW w:w="2426" w:type="dxa"/>
            <w:gridSpan w:val="2"/>
            <w:vMerge w:val="restart"/>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gridSpan w:val="2"/>
            <w:tcBorders>
              <w:bottom w:val="single" w:sz="4" w:space="0" w:color="auto"/>
            </w:tcBorders>
            <w:shd w:val="clear" w:color="auto" w:fill="FAAA5A"/>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gridSpan w:val="2"/>
            <w:vMerge/>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gridSpan w:val="2"/>
            <w:shd w:val="clear" w:color="auto" w:fill="FADC8C"/>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Fiksne cene, cene servisnih storitev po vsakokratnem ceniku prodajalca</w:t>
            </w:r>
          </w:p>
        </w:tc>
      </w:tr>
      <w:tr w:rsidR="0009002D" w:rsidRPr="00EE7B94" w:rsidTr="00973E80">
        <w:trPr>
          <w:trHeight w:val="20"/>
          <w:jc w:val="center"/>
        </w:trPr>
        <w:tc>
          <w:tcPr>
            <w:tcW w:w="2426" w:type="dxa"/>
            <w:gridSpan w:val="2"/>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4"/>
            <w:shd w:val="clear" w:color="auto" w:fill="FADC8C"/>
            <w:vAlign w:val="center"/>
          </w:tcPr>
          <w:p w:rsidR="0009002D"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30 dni</w:t>
            </w:r>
          </w:p>
        </w:tc>
      </w:tr>
      <w:tr w:rsidR="0009002D" w:rsidRPr="00EE7B94" w:rsidTr="00973E80">
        <w:trPr>
          <w:trHeight w:val="20"/>
          <w:jc w:val="center"/>
        </w:trPr>
        <w:tc>
          <w:tcPr>
            <w:tcW w:w="2426" w:type="dxa"/>
            <w:gridSpan w:val="2"/>
            <w:shd w:val="clear" w:color="auto" w:fill="FAAA5A"/>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4"/>
            <w:shd w:val="clear" w:color="auto" w:fill="FADC8C"/>
            <w:vAlign w:val="center"/>
          </w:tcPr>
          <w:p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rsidTr="00973E80">
        <w:trPr>
          <w:trHeight w:val="20"/>
          <w:jc w:val="center"/>
        </w:trPr>
        <w:tc>
          <w:tcPr>
            <w:tcW w:w="2426" w:type="dxa"/>
            <w:gridSpan w:val="2"/>
            <w:shd w:val="clear" w:color="auto" w:fill="FAAA5A"/>
            <w:vAlign w:val="center"/>
          </w:tcPr>
          <w:p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4"/>
            <w:shd w:val="clear" w:color="auto" w:fill="FADC8C"/>
            <w:vAlign w:val="center"/>
          </w:tcPr>
          <w:p w:rsidR="00E10B85" w:rsidRDefault="00E10B85" w:rsidP="00B83186">
            <w:pPr>
              <w:widowControl w:val="0"/>
              <w:spacing w:after="0" w:line="240" w:lineRule="auto"/>
              <w:jc w:val="both"/>
              <w:rPr>
                <w:rFonts w:ascii="Verdana" w:hAnsi="Verdana"/>
                <w:sz w:val="20"/>
                <w:szCs w:val="20"/>
                <w:lang w:val="sl-SI"/>
              </w:rPr>
            </w:pPr>
          </w:p>
        </w:tc>
      </w:tr>
      <w:tr w:rsidR="0009002D" w:rsidRPr="00EE7B94" w:rsidTr="00973E80">
        <w:trPr>
          <w:trHeight w:val="20"/>
          <w:jc w:val="center"/>
        </w:trPr>
        <w:tc>
          <w:tcPr>
            <w:tcW w:w="2426" w:type="dxa"/>
            <w:gridSpan w:val="2"/>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4"/>
            <w:shd w:val="clear" w:color="auto" w:fill="FADC8C"/>
            <w:vAlign w:val="center"/>
          </w:tcPr>
          <w:p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w:t>
            </w:r>
            <w:r w:rsidR="00FA60DD">
              <w:rPr>
                <w:rFonts w:ascii="Verdana" w:hAnsi="Verdana"/>
                <w:sz w:val="20"/>
                <w:szCs w:val="20"/>
                <w:lang w:val="sl-SI"/>
              </w:rPr>
              <w:t xml:space="preserve"> oz.</w:t>
            </w:r>
            <w:r>
              <w:rPr>
                <w:rFonts w:ascii="Verdana" w:hAnsi="Verdana"/>
                <w:sz w:val="20"/>
                <w:szCs w:val="20"/>
                <w:lang w:val="sl-SI"/>
              </w:rPr>
              <w:t xml:space="preserve"> </w:t>
            </w:r>
            <w:r>
              <w:rPr>
                <w:rFonts w:ascii="Verdana" w:hAnsi="Verdana"/>
                <w:sz w:val="20"/>
                <w:szCs w:val="20"/>
                <w:lang w:val="sl-SI"/>
              </w:rPr>
              <w:lastRenderedPageBreak/>
              <w:t>naročniku navede pr</w:t>
            </w:r>
            <w:r w:rsidRPr="00EE7B94">
              <w:rPr>
                <w:rFonts w:ascii="Verdana" w:hAnsi="Verdana"/>
                <w:sz w:val="20"/>
                <w:szCs w:val="20"/>
                <w:lang w:val="sl-SI"/>
              </w:rPr>
              <w:t>oblematiko dobave.</w:t>
            </w:r>
          </w:p>
          <w:p w:rsidR="0009002D" w:rsidRPr="00EE7B94" w:rsidRDefault="0009002D" w:rsidP="00684CA2">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684CA2">
              <w:rPr>
                <w:rFonts w:ascii="Verdana" w:hAnsi="Verdana"/>
                <w:noProof/>
                <w:sz w:val="20"/>
                <w:szCs w:val="20"/>
              </w:rPr>
              <w:t>4</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09002D" w:rsidRPr="00EE7B94" w:rsidTr="00973E80">
        <w:trPr>
          <w:trHeight w:val="20"/>
          <w:jc w:val="center"/>
        </w:trPr>
        <w:tc>
          <w:tcPr>
            <w:tcW w:w="2426" w:type="dxa"/>
            <w:gridSpan w:val="2"/>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Čas odprave napake / izvedbe navodila</w:t>
            </w:r>
          </w:p>
        </w:tc>
        <w:tc>
          <w:tcPr>
            <w:tcW w:w="7278" w:type="dxa"/>
            <w:gridSpan w:val="4"/>
            <w:tcBorders>
              <w:bottom w:val="single" w:sz="4" w:space="0" w:color="auto"/>
            </w:tcBorders>
            <w:shd w:val="clear" w:color="auto" w:fill="FADC8C"/>
            <w:vAlign w:val="center"/>
          </w:tcPr>
          <w:p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684CA2">
              <w:rPr>
                <w:rFonts w:ascii="Verdana" w:hAnsi="Verdana"/>
                <w:sz w:val="20"/>
                <w:szCs w:val="20"/>
                <w:lang w:val="sl-SI"/>
              </w:rPr>
              <w:t xml:space="preserve"> (ali nadomestna oprema za čas popravila)</w:t>
            </w:r>
            <w:r>
              <w:rPr>
                <w:rFonts w:ascii="Verdana" w:hAnsi="Verdana"/>
                <w:sz w:val="20"/>
                <w:szCs w:val="20"/>
                <w:lang w:val="sl-SI"/>
              </w:rPr>
              <w:t>.</w:t>
            </w:r>
          </w:p>
          <w:p w:rsidR="0009002D" w:rsidRPr="00EE7B94" w:rsidRDefault="009B7C20" w:rsidP="00684CA2">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684CA2">
              <w:rPr>
                <w:rFonts w:ascii="Verdana" w:hAnsi="Verdana"/>
                <w:noProof/>
                <w:sz w:val="20"/>
                <w:szCs w:val="20"/>
              </w:rPr>
              <w:t>24</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w:t>
            </w:r>
            <w:r>
              <w:rPr>
                <w:rFonts w:ascii="Verdana" w:hAnsi="Verdana"/>
                <w:sz w:val="20"/>
                <w:szCs w:val="20"/>
                <w:lang w:val="sl-SI"/>
              </w:rPr>
              <w:t>obvestila</w:t>
            </w:r>
            <w:r w:rsidRPr="00EE7B94">
              <w:rPr>
                <w:rFonts w:ascii="Verdana" w:hAnsi="Verdana"/>
                <w:sz w:val="20"/>
                <w:szCs w:val="20"/>
                <w:lang w:val="sl-SI"/>
              </w:rPr>
              <w:t>.</w:t>
            </w:r>
          </w:p>
        </w:tc>
      </w:tr>
      <w:tr w:rsidR="00A40BB3" w:rsidRPr="00EE7B94" w:rsidTr="00193A34">
        <w:trPr>
          <w:trHeight w:val="20"/>
          <w:jc w:val="center"/>
        </w:trPr>
        <w:tc>
          <w:tcPr>
            <w:tcW w:w="2405" w:type="dxa"/>
            <w:shd w:val="clear" w:color="auto" w:fill="FAAA5A"/>
            <w:vAlign w:val="center"/>
          </w:tcPr>
          <w:p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gridSpan w:val="2"/>
            <w:tcBorders>
              <w:bottom w:val="single" w:sz="4" w:space="0" w:color="auto"/>
            </w:tcBorders>
            <w:shd w:val="clear" w:color="auto" w:fill="FAAA5A"/>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gridSpan w:val="2"/>
            <w:tcBorders>
              <w:bottom w:val="single" w:sz="4" w:space="0" w:color="auto"/>
            </w:tcBorders>
            <w:shd w:val="clear" w:color="auto" w:fill="FAAA5A"/>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193A34">
        <w:trPr>
          <w:trHeight w:val="20"/>
          <w:jc w:val="center"/>
        </w:trPr>
        <w:tc>
          <w:tcPr>
            <w:tcW w:w="2405" w:type="dxa"/>
            <w:shd w:val="clear" w:color="auto" w:fill="FAAA5A"/>
            <w:vAlign w:val="center"/>
          </w:tcPr>
          <w:p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2"/>
            <w:tcBorders>
              <w:bottom w:val="single" w:sz="4" w:space="0" w:color="auto"/>
            </w:tcBorders>
            <w:shd w:val="clear" w:color="auto" w:fill="FADC8C"/>
            <w:vAlign w:val="center"/>
          </w:tcPr>
          <w:p w:rsidR="00A40BB3" w:rsidRPr="008F3F65" w:rsidRDefault="008F3F65" w:rsidP="00B83186">
            <w:pPr>
              <w:widowControl w:val="0"/>
              <w:spacing w:after="0" w:line="240" w:lineRule="auto"/>
              <w:jc w:val="both"/>
              <w:rPr>
                <w:rFonts w:ascii="Verdana" w:hAnsi="Verdana"/>
                <w:sz w:val="20"/>
                <w:szCs w:val="20"/>
                <w:highlight w:val="lightGray"/>
                <w:lang w:val="sl-SI"/>
              </w:rPr>
            </w:pPr>
            <w:r w:rsidRPr="004C5598">
              <w:rPr>
                <w:rFonts w:ascii="Verdana" w:hAnsi="Verdana"/>
                <w:sz w:val="20"/>
                <w:szCs w:val="20"/>
                <w:lang w:val="sl-SI"/>
              </w:rPr>
              <w:t>Podpisana in žigosana bianco menica skupaj s pooblastilom za izpolnitev ali poroštvo.</w:t>
            </w:r>
          </w:p>
        </w:tc>
        <w:tc>
          <w:tcPr>
            <w:tcW w:w="2126" w:type="dxa"/>
            <w:gridSpan w:val="2"/>
            <w:tcBorders>
              <w:bottom w:val="single" w:sz="4" w:space="0" w:color="auto"/>
            </w:tcBorders>
            <w:shd w:val="clear" w:color="auto" w:fill="FADC8C"/>
            <w:vAlign w:val="center"/>
          </w:tcPr>
          <w:p w:rsidR="00F677B7" w:rsidRPr="00F677B7" w:rsidRDefault="004C5598" w:rsidP="00B83186">
            <w:pPr>
              <w:widowControl w:val="0"/>
              <w:spacing w:after="0" w:line="240" w:lineRule="auto"/>
              <w:jc w:val="center"/>
              <w:rPr>
                <w:rFonts w:ascii="Verdana" w:hAnsi="Verdana"/>
                <w:sz w:val="20"/>
                <w:szCs w:val="20"/>
                <w:lang w:val="sl-SI"/>
              </w:rPr>
            </w:pPr>
            <w:r>
              <w:rPr>
                <w:rFonts w:ascii="Verdana" w:hAnsi="Verdana"/>
                <w:sz w:val="20"/>
                <w:szCs w:val="20"/>
                <w:lang w:val="sl-SI"/>
              </w:rPr>
              <w:t xml:space="preserve">5.000 </w:t>
            </w:r>
            <w:r w:rsidR="00F677B7" w:rsidRPr="00F677B7">
              <w:rPr>
                <w:rFonts w:ascii="Verdana" w:hAnsi="Verdana"/>
                <w:sz w:val="20"/>
                <w:szCs w:val="20"/>
                <w:lang w:val="sl-SI"/>
              </w:rPr>
              <w:t>EUR</w:t>
            </w:r>
          </w:p>
          <w:p w:rsidR="00A40BB3" w:rsidRPr="00CD3E7B" w:rsidRDefault="00A40BB3" w:rsidP="00B83186">
            <w:pPr>
              <w:widowControl w:val="0"/>
              <w:spacing w:after="0" w:line="240" w:lineRule="auto"/>
              <w:jc w:val="center"/>
              <w:rPr>
                <w:rFonts w:ascii="Verdana" w:hAnsi="Verdana"/>
                <w:i/>
                <w:sz w:val="14"/>
                <w:szCs w:val="14"/>
                <w:lang w:val="sl-SI"/>
              </w:rPr>
            </w:pPr>
          </w:p>
        </w:tc>
        <w:tc>
          <w:tcPr>
            <w:tcW w:w="2054" w:type="dxa"/>
            <w:tcBorders>
              <w:bottom w:val="single" w:sz="4" w:space="0" w:color="auto"/>
            </w:tcBorders>
            <w:shd w:val="clear" w:color="auto" w:fill="FADC8C"/>
            <w:vAlign w:val="center"/>
          </w:tcPr>
          <w:p w:rsidR="00A40BB3" w:rsidRPr="004C5598" w:rsidRDefault="00A40BB3" w:rsidP="004C5598">
            <w:pPr>
              <w:widowControl w:val="0"/>
              <w:spacing w:after="0" w:line="240" w:lineRule="auto"/>
              <w:jc w:val="center"/>
              <w:rPr>
                <w:rFonts w:ascii="Verdana" w:hAnsi="Verdana"/>
                <w:sz w:val="20"/>
                <w:szCs w:val="20"/>
                <w:lang w:val="sl-SI"/>
              </w:rPr>
            </w:pPr>
            <w:r w:rsidRPr="004C5598">
              <w:rPr>
                <w:rFonts w:ascii="Verdana" w:hAnsi="Verdana"/>
                <w:sz w:val="20"/>
                <w:szCs w:val="20"/>
                <w:lang w:val="sl-SI"/>
              </w:rPr>
              <w:t xml:space="preserve">od začetka veljavnosti pogodbe do </w:t>
            </w:r>
            <w:r w:rsidR="004C5598" w:rsidRPr="004C5598">
              <w:rPr>
                <w:rFonts w:ascii="Verdana" w:hAnsi="Verdana"/>
                <w:sz w:val="20"/>
                <w:szCs w:val="20"/>
                <w:lang w:val="sl-SI"/>
              </w:rPr>
              <w:t>konca garancijske dobe</w:t>
            </w:r>
            <w:r w:rsidR="00E061DD" w:rsidRPr="004C5598">
              <w:rPr>
                <w:rFonts w:ascii="Verdana" w:hAnsi="Verdana"/>
                <w:sz w:val="20"/>
                <w:szCs w:val="20"/>
                <w:lang w:val="sl-SI"/>
              </w:rPr>
              <w:t>.</w:t>
            </w:r>
          </w:p>
        </w:tc>
      </w:tr>
    </w:tbl>
    <w:p w:rsidR="0013138A" w:rsidRDefault="0013138A" w:rsidP="0013138A">
      <w:pPr>
        <w:pStyle w:val="Odstavekseznama"/>
        <w:widowControl w:val="0"/>
        <w:spacing w:after="120" w:line="240" w:lineRule="auto"/>
        <w:rPr>
          <w:rFonts w:ascii="Verdana" w:hAnsi="Verdana"/>
          <w:sz w:val="20"/>
          <w:szCs w:val="20"/>
          <w:lang w:val="sl-SI"/>
        </w:rPr>
      </w:pPr>
    </w:p>
    <w:p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lastRenderedPageBreak/>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FF7214">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w:t>
      </w:r>
    </w:p>
    <w:p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predpisana potrdila o atestih in testiranjih, če so jih za blago po zakonu dolžni predložiti;</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podpisane in potrjene garancijske liste</w:t>
      </w:r>
      <w:r w:rsidR="00FF7214" w:rsidRPr="00FF7214">
        <w:rPr>
          <w:rFonts w:ascii="Verdana" w:hAnsi="Verdana"/>
          <w:sz w:val="20"/>
          <w:szCs w:val="20"/>
          <w:lang w:val="sl-SI"/>
        </w:rPr>
        <w:t>;</w:t>
      </w:r>
      <w:r w:rsidRPr="00FF7214">
        <w:rPr>
          <w:rFonts w:ascii="Verdana" w:hAnsi="Verdana"/>
          <w:sz w:val="20"/>
          <w:szCs w:val="20"/>
          <w:lang w:val="sl-SI"/>
        </w:rPr>
        <w:t xml:space="preserve"> </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tehnično dokumentacijo in slovenska navodila za uporabo;</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licence, dokumentacijo in medije za programsko opremo, če so zahtevane, kot je navedeno v specifikaciji</w:t>
      </w:r>
      <w:r w:rsidR="00FF7214" w:rsidRPr="00FF7214">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FF7214" w:rsidRDefault="00FF7214"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 xml:space="preserve">Izvajalec </w:t>
      </w:r>
      <w:r w:rsidR="000D5380" w:rsidRPr="00FF7214">
        <w:rPr>
          <w:rFonts w:ascii="Verdana" w:hAnsi="Verdana"/>
          <w:sz w:val="20"/>
          <w:szCs w:val="20"/>
          <w:lang w:val="sl-SI"/>
        </w:rPr>
        <w:t xml:space="preserve"> </w:t>
      </w:r>
      <w:r w:rsidRPr="00FF7214">
        <w:rPr>
          <w:rFonts w:ascii="Verdana" w:hAnsi="Verdana"/>
          <w:sz w:val="20"/>
          <w:szCs w:val="20"/>
          <w:lang w:val="sl-SI"/>
        </w:rPr>
        <w:t xml:space="preserve">mora </w:t>
      </w:r>
      <w:r w:rsidR="000D5380" w:rsidRPr="00FF7214">
        <w:rPr>
          <w:rFonts w:ascii="Verdana" w:hAnsi="Verdana"/>
          <w:sz w:val="20"/>
          <w:szCs w:val="20"/>
          <w:lang w:val="sl-SI"/>
        </w:rPr>
        <w:t xml:space="preserve">instalirati blago na lokaciji uporabnika, ki ga določi naročnik ter po naročnikovih navodilih instalirati tudi programsko opremo. Izvajalec mora po uspešni instalaciji opraviti preizkus delovanja opreme </w:t>
      </w:r>
      <w:r>
        <w:rPr>
          <w:rFonts w:ascii="Verdana" w:hAnsi="Verdana"/>
          <w:sz w:val="20"/>
          <w:szCs w:val="20"/>
          <w:lang w:val="sl-SI"/>
        </w:rPr>
        <w:t xml:space="preserve">in inštruirati prisotno osebje za uporabo </w:t>
      </w:r>
      <w:r w:rsidR="000D5380" w:rsidRPr="00FF7214">
        <w:rPr>
          <w:rFonts w:ascii="Verdana" w:hAnsi="Verdana"/>
          <w:sz w:val="20"/>
          <w:szCs w:val="20"/>
          <w:lang w:val="sl-SI"/>
        </w:rPr>
        <w:t xml:space="preserve">v prisotnosti odgovorne osebe uporabnika, ki potrdi uspešnost instalacije s podpisom prevzemnega zapisnika. </w:t>
      </w:r>
    </w:p>
    <w:p w:rsidR="000D5380" w:rsidRPr="00FF7214" w:rsidRDefault="000D5380"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w:t>
      </w:r>
      <w:r w:rsidRPr="00D34477">
        <w:rPr>
          <w:rFonts w:ascii="Verdana" w:hAnsi="Verdana"/>
          <w:sz w:val="20"/>
          <w:szCs w:val="20"/>
          <w:lang w:val="sl-SI"/>
        </w:rPr>
        <w:lastRenderedPageBreak/>
        <w:t xml:space="preserve">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w:t>
      </w:r>
      <w:r w:rsidRPr="00D34477">
        <w:rPr>
          <w:rFonts w:ascii="Verdana" w:hAnsi="Verdana"/>
          <w:sz w:val="20"/>
          <w:szCs w:val="20"/>
          <w:lang w:val="sl-SI"/>
        </w:rPr>
        <w:lastRenderedPageBreak/>
        <w:t xml:space="preserve">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FF7214" w:rsidP="00B83186">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mora ob prevzemu opreme</w:t>
      </w:r>
      <w:r w:rsidR="000D5380" w:rsidRPr="00D34477">
        <w:rPr>
          <w:rFonts w:ascii="Verdana" w:hAnsi="Verdana"/>
          <w:sz w:val="20"/>
          <w:szCs w:val="20"/>
          <w:lang w:val="sl-SI"/>
        </w:rPr>
        <w:t xml:space="preserve"> kot pogoj za veljavnost pogodbe naročniku izročiti finančno zavarovanje </w:t>
      </w:r>
      <w:r w:rsidR="00372685" w:rsidRPr="00372685">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rsidR="00F770A1" w:rsidRDefault="00F770A1" w:rsidP="00F770A1">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 xml:space="preserve">a, ki opravlja za naročnika pogodbene obveznosti, velja glede teh obveznosti </w:t>
      </w:r>
      <w:r w:rsidRPr="00D34477">
        <w:rPr>
          <w:rFonts w:ascii="Verdana" w:hAnsi="Verdana"/>
          <w:sz w:val="20"/>
          <w:szCs w:val="20"/>
          <w:lang w:val="sl-SI"/>
        </w:rPr>
        <w:lastRenderedPageBreak/>
        <w:t>enako strog način varovanja podatkov, kot jih ima naročnik.</w:t>
      </w:r>
    </w:p>
    <w:p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13138A" w:rsidRPr="00F91CB5" w:rsidRDefault="0013138A" w:rsidP="0013138A">
      <w:pPr>
        <w:pStyle w:val="Odstavekseznama"/>
        <w:widowControl w:val="0"/>
        <w:spacing w:after="120" w:line="240" w:lineRule="auto"/>
        <w:ind w:left="714"/>
        <w:jc w:val="both"/>
        <w:rPr>
          <w:rFonts w:ascii="Verdana" w:hAnsi="Verdana"/>
          <w:sz w:val="20"/>
          <w:szCs w:val="20"/>
          <w:lang w:val="sl-SI"/>
        </w:rPr>
      </w:pP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C34660" w:rsidP="00B83186">
            <w:pPr>
              <w:widowControl w:val="0"/>
              <w:spacing w:after="0" w:line="240" w:lineRule="auto"/>
              <w:jc w:val="both"/>
              <w:rPr>
                <w:rFonts w:ascii="Verdana" w:hAnsi="Verdana"/>
                <w:sz w:val="20"/>
                <w:szCs w:val="20"/>
                <w:lang w:val="sl-SI"/>
              </w:rPr>
            </w:pPr>
            <w:r>
              <w:rPr>
                <w:rFonts w:ascii="Verdana" w:hAnsi="Verdana"/>
                <w:sz w:val="20"/>
                <w:szCs w:val="20"/>
                <w:lang w:val="sl-SI"/>
              </w:rPr>
              <w:t>Z dnem izključitve dobavljene opreme iz uporabe.</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lastRenderedPageBreak/>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593CB4">
        <w:trPr>
          <w:trHeight w:val="62"/>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rsidTr="00593CB4">
        <w:trPr>
          <w:trHeight w:val="20"/>
          <w:jc w:val="center"/>
        </w:trPr>
        <w:tc>
          <w:tcPr>
            <w:tcW w:w="4815" w:type="dxa"/>
            <w:shd w:val="clear" w:color="auto" w:fill="FADC8C"/>
            <w:vAlign w:val="center"/>
          </w:tcPr>
          <w:p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rsidTr="00593CB4">
        <w:trPr>
          <w:trHeight w:val="20"/>
          <w:jc w:val="center"/>
        </w:trPr>
        <w:tc>
          <w:tcPr>
            <w:tcW w:w="4815" w:type="dxa"/>
            <w:shd w:val="clear" w:color="auto" w:fill="FADC8C"/>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593CB4">
        <w:trPr>
          <w:trHeight w:val="20"/>
          <w:jc w:val="center"/>
        </w:trPr>
        <w:tc>
          <w:tcPr>
            <w:tcW w:w="4815" w:type="dxa"/>
            <w:shd w:val="clear" w:color="auto" w:fill="FADC8C"/>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F70EF0">
        <w:trPr>
          <w:trHeight w:val="20"/>
          <w:jc w:val="center"/>
        </w:trPr>
        <w:tc>
          <w:tcPr>
            <w:tcW w:w="9695" w:type="dxa"/>
            <w:gridSpan w:val="2"/>
            <w:shd w:val="clear" w:color="auto" w:fill="FAAA5A"/>
            <w:vAlign w:val="center"/>
          </w:tcPr>
          <w:p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F70EF0">
        <w:trPr>
          <w:trHeight w:val="20"/>
          <w:jc w:val="center"/>
        </w:trPr>
        <w:tc>
          <w:tcPr>
            <w:tcW w:w="2405" w:type="dxa"/>
            <w:shd w:val="clear" w:color="auto" w:fill="FADC8C"/>
            <w:vAlign w:val="center"/>
          </w:tcPr>
          <w:p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9B27DE">
        <w:trPr>
          <w:trHeight w:val="20"/>
          <w:jc w:val="center"/>
        </w:trPr>
        <w:tc>
          <w:tcPr>
            <w:tcW w:w="9695" w:type="dxa"/>
            <w:gridSpan w:val="2"/>
            <w:shd w:val="clear" w:color="auto" w:fill="FAAA5A"/>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F70EF0">
        <w:trPr>
          <w:trHeight w:val="20"/>
          <w:jc w:val="center"/>
        </w:trPr>
        <w:tc>
          <w:tcPr>
            <w:tcW w:w="2405" w:type="dxa"/>
            <w:shd w:val="clear" w:color="auto" w:fill="FADC8C"/>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lastRenderedPageBreak/>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AF64DB">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AF64DB">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AF64DB">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B83186">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AF64DB">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F64DB">
              <w:rPr>
                <w:rFonts w:ascii="Verdana" w:hAnsi="Verdana"/>
                <w:sz w:val="20"/>
                <w:szCs w:val="20"/>
                <w:lang w:val="sl-SI"/>
              </w:rPr>
              <w:t xml:space="preserve">prim. Nataša Fikfak, dr. med., spec. </w:t>
            </w:r>
            <w:proofErr w:type="spellStart"/>
            <w:r w:rsidR="00AF64DB">
              <w:rPr>
                <w:rFonts w:ascii="Verdana" w:hAnsi="Verdana"/>
                <w:sz w:val="20"/>
                <w:szCs w:val="20"/>
                <w:lang w:val="sl-SI"/>
              </w:rPr>
              <w:t>int</w:t>
            </w:r>
            <w:proofErr w:type="spellEnd"/>
            <w:r w:rsidR="00AF64DB">
              <w:rPr>
                <w:rFonts w:ascii="Verdana" w:hAnsi="Verdana"/>
                <w:sz w:val="20"/>
                <w:szCs w:val="20"/>
                <w:lang w:val="sl-SI"/>
              </w:rPr>
              <w:t xml:space="preserve">. med. in </w:t>
            </w:r>
            <w:proofErr w:type="spellStart"/>
            <w:r w:rsidR="00AF64DB">
              <w:rPr>
                <w:rFonts w:ascii="Verdana" w:hAnsi="Verdana"/>
                <w:sz w:val="20"/>
                <w:szCs w:val="20"/>
                <w:lang w:val="sl-SI"/>
              </w:rPr>
              <w:t>hemat</w:t>
            </w:r>
            <w:proofErr w:type="spellEnd"/>
            <w:r w:rsidR="00AF64DB">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6" w:rsidRDefault="00E02176" w:rsidP="00C108AE">
      <w:pPr>
        <w:spacing w:after="0" w:line="240" w:lineRule="auto"/>
      </w:pPr>
      <w:r>
        <w:separator/>
      </w:r>
    </w:p>
  </w:endnote>
  <w:endnote w:type="continuationSeparator" w:id="0">
    <w:p w:rsidR="00E02176" w:rsidRDefault="00E02176"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B711F9">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B711F9">
            <w:rPr>
              <w:rFonts w:ascii="Verdana" w:hAnsi="Verdana"/>
              <w:noProof/>
              <w:sz w:val="16"/>
              <w:szCs w:val="16"/>
              <w:lang w:val="sl-SI"/>
            </w:rPr>
            <w:t>9</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6" w:rsidRDefault="00E02176" w:rsidP="00C108AE">
      <w:pPr>
        <w:spacing w:after="0" w:line="240" w:lineRule="auto"/>
      </w:pPr>
      <w:r>
        <w:separator/>
      </w:r>
    </w:p>
  </w:footnote>
  <w:footnote w:type="continuationSeparator" w:id="0">
    <w:p w:rsidR="00E02176" w:rsidRDefault="00E02176"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5B2248"/>
    <w:multiLevelType w:val="hybridMultilevel"/>
    <w:tmpl w:val="7EF03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30"/>
  </w:num>
  <w:num w:numId="4">
    <w:abstractNumId w:val="2"/>
  </w:num>
  <w:num w:numId="5">
    <w:abstractNumId w:val="37"/>
  </w:num>
  <w:num w:numId="6">
    <w:abstractNumId w:val="7"/>
  </w:num>
  <w:num w:numId="7">
    <w:abstractNumId w:val="5"/>
  </w:num>
  <w:num w:numId="8">
    <w:abstractNumId w:val="17"/>
  </w:num>
  <w:num w:numId="9">
    <w:abstractNumId w:val="25"/>
  </w:num>
  <w:num w:numId="10">
    <w:abstractNumId w:val="33"/>
  </w:num>
  <w:num w:numId="11">
    <w:abstractNumId w:val="1"/>
  </w:num>
  <w:num w:numId="12">
    <w:abstractNumId w:val="26"/>
  </w:num>
  <w:num w:numId="13">
    <w:abstractNumId w:val="34"/>
  </w:num>
  <w:num w:numId="14">
    <w:abstractNumId w:val="36"/>
  </w:num>
  <w:num w:numId="15">
    <w:abstractNumId w:val="0"/>
  </w:num>
  <w:num w:numId="16">
    <w:abstractNumId w:val="32"/>
  </w:num>
  <w:num w:numId="17">
    <w:abstractNumId w:val="9"/>
  </w:num>
  <w:num w:numId="18">
    <w:abstractNumId w:val="18"/>
  </w:num>
  <w:num w:numId="19">
    <w:abstractNumId w:val="31"/>
  </w:num>
  <w:num w:numId="20">
    <w:abstractNumId w:val="19"/>
  </w:num>
  <w:num w:numId="21">
    <w:abstractNumId w:val="38"/>
  </w:num>
  <w:num w:numId="22">
    <w:abstractNumId w:val="6"/>
  </w:num>
  <w:num w:numId="23">
    <w:abstractNumId w:val="15"/>
  </w:num>
  <w:num w:numId="24">
    <w:abstractNumId w:val="16"/>
  </w:num>
  <w:num w:numId="25">
    <w:abstractNumId w:val="3"/>
  </w:num>
  <w:num w:numId="26">
    <w:abstractNumId w:val="35"/>
  </w:num>
  <w:num w:numId="27">
    <w:abstractNumId w:val="20"/>
  </w:num>
  <w:num w:numId="28">
    <w:abstractNumId w:val="13"/>
  </w:num>
  <w:num w:numId="29">
    <w:abstractNumId w:val="14"/>
  </w:num>
  <w:num w:numId="30">
    <w:abstractNumId w:val="27"/>
  </w:num>
  <w:num w:numId="31">
    <w:abstractNumId w:val="11"/>
  </w:num>
  <w:num w:numId="32">
    <w:abstractNumId w:val="12"/>
  </w:num>
  <w:num w:numId="33">
    <w:abstractNumId w:val="24"/>
  </w:num>
  <w:num w:numId="34">
    <w:abstractNumId w:val="29"/>
  </w:num>
  <w:num w:numId="35">
    <w:abstractNumId w:val="8"/>
  </w:num>
  <w:num w:numId="36">
    <w:abstractNumId w:val="4"/>
  </w:num>
  <w:num w:numId="37">
    <w:abstractNumId w:val="28"/>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474F"/>
    <w:rsid w:val="000231A4"/>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6E4A"/>
    <w:rsid w:val="000C6F7F"/>
    <w:rsid w:val="000C744E"/>
    <w:rsid w:val="000D5380"/>
    <w:rsid w:val="000D6301"/>
    <w:rsid w:val="000F372D"/>
    <w:rsid w:val="00110547"/>
    <w:rsid w:val="001166E0"/>
    <w:rsid w:val="0012260C"/>
    <w:rsid w:val="0012584E"/>
    <w:rsid w:val="00126DCC"/>
    <w:rsid w:val="0013138A"/>
    <w:rsid w:val="001320EC"/>
    <w:rsid w:val="00141922"/>
    <w:rsid w:val="0017230D"/>
    <w:rsid w:val="00191AE2"/>
    <w:rsid w:val="00193A34"/>
    <w:rsid w:val="00195651"/>
    <w:rsid w:val="001E47A3"/>
    <w:rsid w:val="00204BD5"/>
    <w:rsid w:val="00205373"/>
    <w:rsid w:val="00215041"/>
    <w:rsid w:val="00235547"/>
    <w:rsid w:val="00235C8E"/>
    <w:rsid w:val="0024131D"/>
    <w:rsid w:val="00242087"/>
    <w:rsid w:val="00250ADC"/>
    <w:rsid w:val="002744A5"/>
    <w:rsid w:val="00287F66"/>
    <w:rsid w:val="002926BC"/>
    <w:rsid w:val="00294174"/>
    <w:rsid w:val="002A2E1E"/>
    <w:rsid w:val="002C2BB8"/>
    <w:rsid w:val="002D2F78"/>
    <w:rsid w:val="002E133B"/>
    <w:rsid w:val="002F30A2"/>
    <w:rsid w:val="00302403"/>
    <w:rsid w:val="0031766F"/>
    <w:rsid w:val="00333BF4"/>
    <w:rsid w:val="0034442F"/>
    <w:rsid w:val="00372685"/>
    <w:rsid w:val="00383ACE"/>
    <w:rsid w:val="003963C2"/>
    <w:rsid w:val="003B657F"/>
    <w:rsid w:val="003D61ED"/>
    <w:rsid w:val="003F3299"/>
    <w:rsid w:val="00400743"/>
    <w:rsid w:val="0040785B"/>
    <w:rsid w:val="00413CE5"/>
    <w:rsid w:val="00417669"/>
    <w:rsid w:val="0042706B"/>
    <w:rsid w:val="00444103"/>
    <w:rsid w:val="00452A26"/>
    <w:rsid w:val="00457A48"/>
    <w:rsid w:val="00462078"/>
    <w:rsid w:val="00475A4F"/>
    <w:rsid w:val="00491449"/>
    <w:rsid w:val="004A2FC2"/>
    <w:rsid w:val="004A7F1E"/>
    <w:rsid w:val="004B16B3"/>
    <w:rsid w:val="004C5598"/>
    <w:rsid w:val="004F185D"/>
    <w:rsid w:val="004F5F68"/>
    <w:rsid w:val="00501BD4"/>
    <w:rsid w:val="0051430D"/>
    <w:rsid w:val="00514ACD"/>
    <w:rsid w:val="00515F3E"/>
    <w:rsid w:val="00525743"/>
    <w:rsid w:val="005475F8"/>
    <w:rsid w:val="00555B9B"/>
    <w:rsid w:val="0059263B"/>
    <w:rsid w:val="005D6382"/>
    <w:rsid w:val="005F5C4A"/>
    <w:rsid w:val="00613923"/>
    <w:rsid w:val="0068039C"/>
    <w:rsid w:val="00684CA2"/>
    <w:rsid w:val="006B217A"/>
    <w:rsid w:val="006D3547"/>
    <w:rsid w:val="006D36CC"/>
    <w:rsid w:val="00710290"/>
    <w:rsid w:val="00716CAE"/>
    <w:rsid w:val="0074265E"/>
    <w:rsid w:val="0077014F"/>
    <w:rsid w:val="00770B7C"/>
    <w:rsid w:val="007859B1"/>
    <w:rsid w:val="007963F0"/>
    <w:rsid w:val="007C3E60"/>
    <w:rsid w:val="007D1B2A"/>
    <w:rsid w:val="0080272E"/>
    <w:rsid w:val="0082070F"/>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51255"/>
    <w:rsid w:val="009535AB"/>
    <w:rsid w:val="00954AB0"/>
    <w:rsid w:val="00956B0F"/>
    <w:rsid w:val="00972B6B"/>
    <w:rsid w:val="00973E80"/>
    <w:rsid w:val="00974D5A"/>
    <w:rsid w:val="00983C66"/>
    <w:rsid w:val="009A1BB6"/>
    <w:rsid w:val="009B27DE"/>
    <w:rsid w:val="009B7C20"/>
    <w:rsid w:val="009D1E46"/>
    <w:rsid w:val="00A16466"/>
    <w:rsid w:val="00A3403A"/>
    <w:rsid w:val="00A40BB3"/>
    <w:rsid w:val="00A42989"/>
    <w:rsid w:val="00A504C1"/>
    <w:rsid w:val="00A578D4"/>
    <w:rsid w:val="00A600B9"/>
    <w:rsid w:val="00A7714A"/>
    <w:rsid w:val="00A80053"/>
    <w:rsid w:val="00A826E5"/>
    <w:rsid w:val="00AC0689"/>
    <w:rsid w:val="00AC29F4"/>
    <w:rsid w:val="00AD11D7"/>
    <w:rsid w:val="00AE3359"/>
    <w:rsid w:val="00AE45D5"/>
    <w:rsid w:val="00AE4FAB"/>
    <w:rsid w:val="00AE585D"/>
    <w:rsid w:val="00AF03F5"/>
    <w:rsid w:val="00AF64DB"/>
    <w:rsid w:val="00B13BC5"/>
    <w:rsid w:val="00B16DE6"/>
    <w:rsid w:val="00B34C33"/>
    <w:rsid w:val="00B51360"/>
    <w:rsid w:val="00B57C7C"/>
    <w:rsid w:val="00B63343"/>
    <w:rsid w:val="00B671BF"/>
    <w:rsid w:val="00B711F9"/>
    <w:rsid w:val="00B83186"/>
    <w:rsid w:val="00B8409F"/>
    <w:rsid w:val="00B841C7"/>
    <w:rsid w:val="00B85706"/>
    <w:rsid w:val="00BA6266"/>
    <w:rsid w:val="00BC1B19"/>
    <w:rsid w:val="00BD7D21"/>
    <w:rsid w:val="00C108AE"/>
    <w:rsid w:val="00C135E0"/>
    <w:rsid w:val="00C24CF3"/>
    <w:rsid w:val="00C34660"/>
    <w:rsid w:val="00C63DD1"/>
    <w:rsid w:val="00C65A75"/>
    <w:rsid w:val="00C6666B"/>
    <w:rsid w:val="00C7043C"/>
    <w:rsid w:val="00C82E9C"/>
    <w:rsid w:val="00CB3A69"/>
    <w:rsid w:val="00CC0099"/>
    <w:rsid w:val="00CC20CA"/>
    <w:rsid w:val="00CD1B38"/>
    <w:rsid w:val="00CD3E7B"/>
    <w:rsid w:val="00CD50CC"/>
    <w:rsid w:val="00CE1029"/>
    <w:rsid w:val="00CF2045"/>
    <w:rsid w:val="00D031D4"/>
    <w:rsid w:val="00D27F2A"/>
    <w:rsid w:val="00D57461"/>
    <w:rsid w:val="00D700F8"/>
    <w:rsid w:val="00D76207"/>
    <w:rsid w:val="00D77263"/>
    <w:rsid w:val="00D926B0"/>
    <w:rsid w:val="00DC0F08"/>
    <w:rsid w:val="00DD0319"/>
    <w:rsid w:val="00DD4A58"/>
    <w:rsid w:val="00DE1BF7"/>
    <w:rsid w:val="00DF0506"/>
    <w:rsid w:val="00DF4EEA"/>
    <w:rsid w:val="00E02176"/>
    <w:rsid w:val="00E05F9C"/>
    <w:rsid w:val="00E061DD"/>
    <w:rsid w:val="00E07FFD"/>
    <w:rsid w:val="00E10B85"/>
    <w:rsid w:val="00E22745"/>
    <w:rsid w:val="00E30A07"/>
    <w:rsid w:val="00E37AD0"/>
    <w:rsid w:val="00E45BD9"/>
    <w:rsid w:val="00E50D31"/>
    <w:rsid w:val="00E7409B"/>
    <w:rsid w:val="00E83A6D"/>
    <w:rsid w:val="00E924A8"/>
    <w:rsid w:val="00E932AD"/>
    <w:rsid w:val="00EA02B5"/>
    <w:rsid w:val="00ED7B66"/>
    <w:rsid w:val="00EE2FFA"/>
    <w:rsid w:val="00F063CD"/>
    <w:rsid w:val="00F1473B"/>
    <w:rsid w:val="00F209A5"/>
    <w:rsid w:val="00F2229C"/>
    <w:rsid w:val="00F346F4"/>
    <w:rsid w:val="00F44B66"/>
    <w:rsid w:val="00F47319"/>
    <w:rsid w:val="00F677B7"/>
    <w:rsid w:val="00F70EF0"/>
    <w:rsid w:val="00F770A1"/>
    <w:rsid w:val="00F85C40"/>
    <w:rsid w:val="00F91CB5"/>
    <w:rsid w:val="00FA3B1A"/>
    <w:rsid w:val="00FA5018"/>
    <w:rsid w:val="00FA60DD"/>
    <w:rsid w:val="00FA6CB0"/>
    <w:rsid w:val="00FC15F4"/>
    <w:rsid w:val="00FD5155"/>
    <w:rsid w:val="00FD7D1B"/>
    <w:rsid w:val="00FF0885"/>
    <w:rsid w:val="00FF2E53"/>
    <w:rsid w:val="00FF7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2192-B485-41B7-9EDB-6B13849B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131</cp:revision>
  <dcterms:created xsi:type="dcterms:W3CDTF">2016-04-12T08:51:00Z</dcterms:created>
  <dcterms:modified xsi:type="dcterms:W3CDTF">2017-06-28T06:35:00Z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