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4683"/>
        <w:gridCol w:w="4110"/>
        <w:gridCol w:w="23"/>
        <w:gridCol w:w="26"/>
      </w:tblGrid>
      <w:tr w:rsidR="007D712B">
        <w:tblPrEx>
          <w:tblCellMar>
            <w:top w:w="0" w:type="dxa"/>
            <w:bottom w:w="0" w:type="dxa"/>
          </w:tblCellMar>
        </w:tblPrEx>
        <w:trPr>
          <w:trHeight w:val="1127"/>
          <w:tblHeader/>
        </w:trPr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12B" w:rsidRDefault="003D5528">
            <w:pPr>
              <w:keepNext/>
              <w:widowControl/>
              <w:spacing w:before="240" w:after="120"/>
              <w:textAlignment w:val="auto"/>
            </w:pPr>
            <w:bookmarkStart w:id="0" w:name="OLE_LINK1"/>
            <w:bookmarkStart w:id="1" w:name="_GoBack"/>
            <w:bookmarkEnd w:id="0"/>
            <w:bookmarkEnd w:id="1"/>
            <w:r>
              <w:rPr>
                <w:rFonts w:ascii="Arial" w:eastAsia="Arial Unicode MS" w:hAnsi="Arial" w:cs="Tahoma"/>
                <w:b/>
                <w:bCs/>
                <w:noProof/>
                <w:sz w:val="28"/>
                <w:szCs w:val="28"/>
                <w:lang w:eastAsia="en-US" w:bidi="en-US"/>
              </w:rPr>
              <w:drawing>
                <wp:inline distT="0" distB="0" distL="0" distR="0">
                  <wp:extent cx="647696" cy="609603"/>
                  <wp:effectExtent l="0" t="0" r="4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609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12B" w:rsidRDefault="007D712B">
            <w:pPr>
              <w:widowControl/>
              <w:snapToGrid w:val="0"/>
              <w:textAlignment w:val="auto"/>
              <w:rPr>
                <w:rFonts w:ascii="Verdana" w:eastAsia="Arial Unicode MS" w:hAnsi="Verdana" w:cs="Verdana"/>
                <w:sz w:val="18"/>
                <w:szCs w:val="18"/>
                <w:lang w:eastAsia="en-US" w:bidi="en-US"/>
              </w:rPr>
            </w:pPr>
          </w:p>
          <w:p w:rsidR="007D712B" w:rsidRDefault="003D5528">
            <w:pPr>
              <w:widowControl/>
              <w:textAlignment w:val="auto"/>
              <w:rPr>
                <w:rFonts w:ascii="Verdana" w:eastAsia="Arial Unicode MS" w:hAnsi="Verdana" w:cs="Verdana"/>
                <w:sz w:val="18"/>
                <w:szCs w:val="18"/>
                <w:lang w:eastAsia="en-US" w:bidi="en-US"/>
              </w:rPr>
            </w:pPr>
            <w:r>
              <w:rPr>
                <w:rFonts w:ascii="Verdana" w:eastAsia="Arial Unicode MS" w:hAnsi="Verdana" w:cs="Verdana"/>
                <w:sz w:val="18"/>
                <w:szCs w:val="18"/>
                <w:lang w:eastAsia="en-US" w:bidi="en-US"/>
              </w:rPr>
              <w:t>SPLOŠNA BOLNIŠNICA</w:t>
            </w:r>
          </w:p>
          <w:p w:rsidR="007D712B" w:rsidRDefault="003D5528">
            <w:pPr>
              <w:widowControl/>
              <w:textAlignment w:val="auto"/>
              <w:rPr>
                <w:rFonts w:ascii="Verdana" w:eastAsia="Arial Unicode MS" w:hAnsi="Verdana" w:cs="Verdana"/>
                <w:sz w:val="18"/>
                <w:szCs w:val="18"/>
                <w:lang w:eastAsia="en-US" w:bidi="en-US"/>
              </w:rPr>
            </w:pPr>
            <w:r>
              <w:rPr>
                <w:rFonts w:ascii="Verdana" w:eastAsia="Arial Unicode MS" w:hAnsi="Verdana" w:cs="Verdana"/>
                <w:sz w:val="18"/>
                <w:szCs w:val="18"/>
                <w:lang w:eastAsia="en-US" w:bidi="en-US"/>
              </w:rPr>
              <w:t>»DR. FRANCA DERGANCA«</w:t>
            </w:r>
          </w:p>
          <w:p w:rsidR="007D712B" w:rsidRDefault="003D5528">
            <w:pPr>
              <w:widowControl/>
              <w:textAlignment w:val="auto"/>
            </w:pPr>
            <w:r>
              <w:rPr>
                <w:rFonts w:ascii="Verdana" w:eastAsia="Arial Unicode MS" w:hAnsi="Verdana" w:cs="Verdana"/>
                <w:sz w:val="18"/>
                <w:szCs w:val="18"/>
                <w:lang w:eastAsia="en-US" w:bidi="en-US"/>
              </w:rPr>
              <w:t>NOVA GORICA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12B" w:rsidRDefault="003D5528">
            <w:pPr>
              <w:widowControl/>
              <w:jc w:val="right"/>
              <w:textAlignment w:val="auto"/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</w:pP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Ul. padlih borcev 13a</w:t>
            </w:r>
          </w:p>
          <w:p w:rsidR="007D712B" w:rsidRDefault="003D5528">
            <w:pPr>
              <w:widowControl/>
              <w:jc w:val="right"/>
              <w:textAlignment w:val="auto"/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</w:pP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5290 Šempeter pri Gorici</w:t>
            </w:r>
          </w:p>
          <w:p w:rsidR="007D712B" w:rsidRDefault="003D5528">
            <w:pPr>
              <w:widowControl/>
              <w:jc w:val="right"/>
              <w:textAlignment w:val="auto"/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</w:pP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 xml:space="preserve">    telefon:05/ 33 01 100</w:t>
            </w:r>
          </w:p>
          <w:p w:rsidR="007D712B" w:rsidRDefault="003D5528">
            <w:pPr>
              <w:widowControl/>
              <w:jc w:val="right"/>
              <w:textAlignment w:val="auto"/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</w:pP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faks: 05/33 01 554</w:t>
            </w:r>
          </w:p>
          <w:p w:rsidR="007D712B" w:rsidRDefault="003D5528">
            <w:pPr>
              <w:widowControl/>
              <w:jc w:val="right"/>
              <w:textAlignment w:val="auto"/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</w:pP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ID št.za DDV/SI: 11427205</w:t>
            </w:r>
          </w:p>
          <w:p w:rsidR="007D712B" w:rsidRDefault="003D5528">
            <w:pPr>
              <w:widowControl/>
              <w:jc w:val="right"/>
              <w:textAlignment w:val="auto"/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</w:pPr>
            <w:proofErr w:type="spellStart"/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mat.št</w:t>
            </w:r>
            <w:proofErr w:type="spellEnd"/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.: 5055695000</w:t>
            </w:r>
          </w:p>
          <w:p w:rsidR="007D712B" w:rsidRDefault="003D5528">
            <w:pPr>
              <w:widowControl/>
              <w:jc w:val="right"/>
              <w:textAlignment w:val="auto"/>
            </w:pP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 xml:space="preserve">      podračun: </w:t>
            </w:r>
            <w:r>
              <w:rPr>
                <w:rFonts w:ascii="Verdana" w:eastAsia="Arial Unicode MS" w:hAnsi="Verdana" w:cs="Verdana"/>
                <w:spacing w:val="20"/>
                <w:sz w:val="14"/>
                <w:szCs w:val="14"/>
                <w:lang w:eastAsia="en-US" w:bidi="en-US"/>
              </w:rPr>
              <w:t>SI56-0110-0603-0279-058</w:t>
            </w:r>
          </w:p>
        </w:tc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12B" w:rsidRDefault="007D712B">
            <w:pPr>
              <w:widowControl/>
              <w:snapToGrid w:val="0"/>
              <w:textAlignment w:val="auto"/>
              <w:rPr>
                <w:rFonts w:eastAsia="Arial Unicode MS" w:cs="Times New Roman"/>
                <w:sz w:val="22"/>
                <w:lang w:eastAsia="en-US" w:bidi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12B" w:rsidRDefault="007D712B">
            <w:pPr>
              <w:widowControl/>
              <w:snapToGrid w:val="0"/>
              <w:textAlignment w:val="auto"/>
              <w:rPr>
                <w:rFonts w:eastAsia="Arial Unicode MS" w:cs="Times New Roman"/>
                <w:sz w:val="22"/>
                <w:lang w:eastAsia="en-US" w:bidi="en-US"/>
              </w:rPr>
            </w:pPr>
          </w:p>
        </w:tc>
      </w:tr>
    </w:tbl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Datum: avgust, 2019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                                     </w:t>
      </w:r>
      <w:r>
        <w:rPr>
          <w:b/>
          <w:bCs/>
        </w:rPr>
        <w:t>EN najem operacijskih plaščev</w:t>
      </w: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Povpraševanje 19/0015  za storitev najema operacijskih plaščev za obdobje 2 let.</w:t>
      </w:r>
    </w:p>
    <w:p w:rsidR="007D712B" w:rsidRDefault="007D712B">
      <w:pPr>
        <w:pStyle w:val="Standard"/>
        <w:rPr>
          <w:b/>
          <w:bCs/>
        </w:rPr>
      </w:pPr>
    </w:p>
    <w:p w:rsidR="007D712B" w:rsidRDefault="003D5528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Tehnični opis:</w:t>
      </w:r>
    </w:p>
    <w:p w:rsidR="007D712B" w:rsidRDefault="007D712B">
      <w:pPr>
        <w:pStyle w:val="Standard"/>
        <w:rPr>
          <w:b/>
          <w:bCs/>
          <w:u w:val="single"/>
        </w:rPr>
      </w:pPr>
    </w:p>
    <w:p w:rsidR="007D712B" w:rsidRDefault="003D5528">
      <w:pPr>
        <w:pStyle w:val="Standard"/>
        <w:shd w:val="clear" w:color="auto" w:fill="FFFFFF"/>
      </w:pPr>
      <w:r>
        <w:rPr>
          <w:u w:val="single"/>
        </w:rPr>
        <w:t>sestava op. plašč »A«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numPr>
          <w:ilvl w:val="0"/>
          <w:numId w:val="1"/>
        </w:numPr>
      </w:pPr>
      <w:r>
        <w:t xml:space="preserve">99 % </w:t>
      </w:r>
      <w:r>
        <w:t>poliester, 1%ogljikova vlakna</w:t>
      </w:r>
    </w:p>
    <w:p w:rsidR="007D712B" w:rsidRDefault="003D5528">
      <w:pPr>
        <w:pStyle w:val="Textbody"/>
        <w:numPr>
          <w:ilvl w:val="0"/>
          <w:numId w:val="1"/>
        </w:numPr>
      </w:pPr>
      <w:r>
        <w:t>teža 150g/m2 +-10%</w:t>
      </w:r>
    </w:p>
    <w:p w:rsidR="007D712B" w:rsidRDefault="003D5528">
      <w:pPr>
        <w:pStyle w:val="Textbody"/>
        <w:numPr>
          <w:ilvl w:val="0"/>
          <w:numId w:val="1"/>
        </w:numPr>
      </w:pPr>
      <w:proofErr w:type="spellStart"/>
      <w:r>
        <w:t>termoregulacija</w:t>
      </w:r>
      <w:proofErr w:type="spellEnd"/>
    </w:p>
    <w:p w:rsidR="007D712B" w:rsidRDefault="003D5528">
      <w:pPr>
        <w:pStyle w:val="Standard"/>
        <w:numPr>
          <w:ilvl w:val="0"/>
          <w:numId w:val="1"/>
        </w:numPr>
      </w:pPr>
      <w:r>
        <w:t>zračnost, mehkoba, odpornost na mečkanje</w:t>
      </w:r>
    </w:p>
    <w:p w:rsidR="007D712B" w:rsidRDefault="003D5528">
      <w:pPr>
        <w:pStyle w:val="Standard"/>
        <w:numPr>
          <w:ilvl w:val="0"/>
          <w:numId w:val="1"/>
        </w:numPr>
      </w:pPr>
      <w:r>
        <w:t>zelene obstojne  barve</w:t>
      </w:r>
    </w:p>
    <w:p w:rsidR="007D712B" w:rsidRDefault="003D5528">
      <w:pPr>
        <w:pStyle w:val="Standard"/>
        <w:numPr>
          <w:ilvl w:val="0"/>
          <w:numId w:val="1"/>
        </w:numPr>
      </w:pPr>
      <w:r>
        <w:t>vodni stolpec nepropustnosti 100 mm</w:t>
      </w:r>
    </w:p>
    <w:p w:rsidR="007D712B" w:rsidRDefault="003D5528">
      <w:pPr>
        <w:pStyle w:val="Standard"/>
        <w:numPr>
          <w:ilvl w:val="0"/>
          <w:numId w:val="1"/>
        </w:numPr>
      </w:pPr>
      <w:r>
        <w:t>zapiranje z neti</w:t>
      </w:r>
    </w:p>
    <w:p w:rsidR="007D712B" w:rsidRDefault="003D5528">
      <w:pPr>
        <w:pStyle w:val="Standard"/>
        <w:numPr>
          <w:ilvl w:val="0"/>
          <w:numId w:val="1"/>
        </w:numPr>
      </w:pPr>
      <w:r>
        <w:t>v zapestju manšete</w:t>
      </w:r>
    </w:p>
    <w:p w:rsidR="007D712B" w:rsidRDefault="003D5528">
      <w:pPr>
        <w:pStyle w:val="Standard"/>
        <w:numPr>
          <w:ilvl w:val="0"/>
          <w:numId w:val="1"/>
        </w:numPr>
      </w:pPr>
      <w:r>
        <w:t>velikostno številko označuje barva ovratnika</w:t>
      </w:r>
    </w:p>
    <w:p w:rsidR="007D712B" w:rsidRDefault="003D552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7D712B" w:rsidRDefault="003D5528">
      <w:pPr>
        <w:pStyle w:val="Standard"/>
        <w:shd w:val="clear" w:color="auto" w:fill="FFFFFF"/>
      </w:pPr>
      <w:r>
        <w:rPr>
          <w:u w:val="single"/>
        </w:rPr>
        <w:t>sestava op. plašč</w:t>
      </w:r>
      <w:r>
        <w:rPr>
          <w:b/>
          <w:bCs/>
          <w:u w:val="single"/>
        </w:rPr>
        <w:t xml:space="preserve"> »</w:t>
      </w:r>
      <w:r>
        <w:rPr>
          <w:u w:val="single"/>
        </w:rPr>
        <w:t>B«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numPr>
          <w:ilvl w:val="0"/>
          <w:numId w:val="1"/>
        </w:numPr>
      </w:pPr>
      <w:r>
        <w:t>3 slojni laminat</w:t>
      </w:r>
    </w:p>
    <w:p w:rsidR="007D712B" w:rsidRDefault="003D5528">
      <w:pPr>
        <w:pStyle w:val="Standard"/>
        <w:numPr>
          <w:ilvl w:val="0"/>
          <w:numId w:val="1"/>
        </w:numPr>
      </w:pPr>
      <w:r>
        <w:t>zgornja in spodnja plast 100 % poliester</w:t>
      </w:r>
    </w:p>
    <w:p w:rsidR="007D712B" w:rsidRDefault="003D5528">
      <w:pPr>
        <w:pStyle w:val="Standard"/>
        <w:numPr>
          <w:ilvl w:val="0"/>
          <w:numId w:val="1"/>
        </w:numPr>
      </w:pPr>
      <w:r>
        <w:t>teža 160g/m2 +- 10%</w:t>
      </w:r>
    </w:p>
    <w:p w:rsidR="007D712B" w:rsidRDefault="003D5528">
      <w:pPr>
        <w:pStyle w:val="Standard"/>
        <w:numPr>
          <w:ilvl w:val="0"/>
          <w:numId w:val="1"/>
        </w:numPr>
      </w:pPr>
      <w:r>
        <w:t>obojestransko vpijanje</w:t>
      </w:r>
    </w:p>
    <w:p w:rsidR="007D712B" w:rsidRDefault="003D5528">
      <w:pPr>
        <w:pStyle w:val="Standard"/>
        <w:numPr>
          <w:ilvl w:val="0"/>
          <w:numId w:val="1"/>
        </w:numPr>
      </w:pPr>
      <w:r>
        <w:t xml:space="preserve">nepropustna membrana za </w:t>
      </w:r>
      <w:r>
        <w:t>preprečevanje prehoda mikroorganizmov in tekočin</w:t>
      </w:r>
    </w:p>
    <w:p w:rsidR="007D712B" w:rsidRDefault="003D5528">
      <w:pPr>
        <w:pStyle w:val="Standard"/>
        <w:numPr>
          <w:ilvl w:val="0"/>
          <w:numId w:val="1"/>
        </w:numPr>
      </w:pPr>
      <w:proofErr w:type="spellStart"/>
      <w:r>
        <w:t>termoregulacija</w:t>
      </w:r>
      <w:proofErr w:type="spellEnd"/>
    </w:p>
    <w:p w:rsidR="007D712B" w:rsidRDefault="003D5528">
      <w:pPr>
        <w:pStyle w:val="Standard"/>
        <w:numPr>
          <w:ilvl w:val="0"/>
          <w:numId w:val="1"/>
        </w:numPr>
      </w:pPr>
      <w:r>
        <w:t>zračnost, mehkoba, odpornost na mečkanje</w:t>
      </w:r>
    </w:p>
    <w:p w:rsidR="007D712B" w:rsidRDefault="003D5528">
      <w:pPr>
        <w:pStyle w:val="Standard"/>
        <w:numPr>
          <w:ilvl w:val="0"/>
          <w:numId w:val="1"/>
        </w:numPr>
      </w:pPr>
      <w:r>
        <w:t>zelene obstojne  barve</w:t>
      </w:r>
    </w:p>
    <w:p w:rsidR="007D712B" w:rsidRDefault="003D5528">
      <w:pPr>
        <w:pStyle w:val="Standard"/>
        <w:numPr>
          <w:ilvl w:val="0"/>
          <w:numId w:val="1"/>
        </w:numPr>
      </w:pPr>
      <w:r>
        <w:t>vodni stolpec nepropustnosti 500mm</w:t>
      </w:r>
    </w:p>
    <w:p w:rsidR="007D712B" w:rsidRDefault="003D5528">
      <w:pPr>
        <w:pStyle w:val="Standard"/>
        <w:numPr>
          <w:ilvl w:val="0"/>
          <w:numId w:val="1"/>
        </w:numPr>
      </w:pPr>
      <w:r>
        <w:t>zapiranje z neti</w:t>
      </w:r>
    </w:p>
    <w:p w:rsidR="007D712B" w:rsidRDefault="003D5528">
      <w:pPr>
        <w:pStyle w:val="Standard"/>
        <w:numPr>
          <w:ilvl w:val="0"/>
          <w:numId w:val="1"/>
        </w:numPr>
      </w:pPr>
      <w:r>
        <w:t>v zapestju manšete</w:t>
      </w:r>
    </w:p>
    <w:p w:rsidR="007D712B" w:rsidRDefault="003D5528">
      <w:pPr>
        <w:pStyle w:val="Standard"/>
        <w:numPr>
          <w:ilvl w:val="0"/>
          <w:numId w:val="1"/>
        </w:numPr>
      </w:pPr>
      <w:r>
        <w:t>velikostno številko označuje barva ovratnika</w:t>
      </w:r>
    </w:p>
    <w:p w:rsidR="007D712B" w:rsidRDefault="007D712B">
      <w:pPr>
        <w:pStyle w:val="Standard"/>
        <w:rPr>
          <w:b/>
          <w:bCs/>
        </w:rPr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Specifikac</w:t>
      </w:r>
      <w:r>
        <w:rPr>
          <w:b/>
          <w:bCs/>
        </w:rPr>
        <w:t>ija setov:</w:t>
      </w:r>
    </w:p>
    <w:p w:rsidR="007D712B" w:rsidRDefault="007D712B">
      <w:pPr>
        <w:pStyle w:val="Standard"/>
        <w:rPr>
          <w:b/>
          <w:bCs/>
        </w:rPr>
      </w:pPr>
    </w:p>
    <w:p w:rsidR="007D712B" w:rsidRDefault="003D5528">
      <w:pPr>
        <w:pStyle w:val="Standard"/>
      </w:pPr>
      <w:r>
        <w:rPr>
          <w:b/>
          <w:bCs/>
        </w:rPr>
        <w:t>Set 1</w:t>
      </w:r>
      <w:r>
        <w:t xml:space="preserve"> s tremi operacijskimi plašči</w:t>
      </w:r>
    </w:p>
    <w:p w:rsidR="007D712B" w:rsidRDefault="003D5528">
      <w:pPr>
        <w:pStyle w:val="Standard"/>
        <w:numPr>
          <w:ilvl w:val="0"/>
          <w:numId w:val="2"/>
        </w:numPr>
      </w:pPr>
      <w:r>
        <w:t>2 kos M (vel. št.) sest .op. plašč »A«</w:t>
      </w:r>
    </w:p>
    <w:p w:rsidR="007D712B" w:rsidRDefault="003D5528">
      <w:pPr>
        <w:pStyle w:val="Standard"/>
        <w:numPr>
          <w:ilvl w:val="0"/>
          <w:numId w:val="2"/>
        </w:numPr>
      </w:pPr>
      <w:r>
        <w:t>1 kos L                sest. op. plašč »A«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rPr>
          <w:b/>
          <w:bCs/>
        </w:rPr>
        <w:t>Set 2</w:t>
      </w:r>
      <w:r>
        <w:t xml:space="preserve"> z dvema operacijskima plaščema</w:t>
      </w:r>
    </w:p>
    <w:p w:rsidR="007D712B" w:rsidRDefault="003D5528">
      <w:pPr>
        <w:pStyle w:val="Standard"/>
        <w:numPr>
          <w:ilvl w:val="0"/>
          <w:numId w:val="3"/>
        </w:numPr>
      </w:pPr>
      <w:r>
        <w:t>2 kos M (vel. št.) sest. op. plašč »A«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rPr>
          <w:b/>
          <w:bCs/>
        </w:rPr>
        <w:lastRenderedPageBreak/>
        <w:t>Set 3</w:t>
      </w:r>
      <w:r>
        <w:t xml:space="preserve"> z enim operacijskim plaščem (od vel. št. M</w:t>
      </w:r>
      <w:r>
        <w:t xml:space="preserve"> - L ) op. plašč »A«</w:t>
      </w:r>
    </w:p>
    <w:p w:rsidR="007D712B" w:rsidRDefault="003D5528">
      <w:pPr>
        <w:pStyle w:val="Standard"/>
      </w:pPr>
      <w:r>
        <w:t xml:space="preserve">   </w:t>
      </w:r>
    </w:p>
    <w:p w:rsidR="007D712B" w:rsidRDefault="003D5528">
      <w:pPr>
        <w:pStyle w:val="Standard"/>
      </w:pPr>
      <w:r>
        <w:rPr>
          <w:b/>
          <w:bCs/>
        </w:rPr>
        <w:t>Set 4</w:t>
      </w:r>
      <w:r>
        <w:t xml:space="preserve"> z enim operacijskim plaščem(vel .št. L)  sest. op. plašč »B«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Mesečna  poraba setov z op. plašči ˝A˝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numPr>
          <w:ilvl w:val="0"/>
          <w:numId w:val="4"/>
        </w:numPr>
      </w:pPr>
      <w:r>
        <w:rPr>
          <w:b/>
          <w:bCs/>
        </w:rPr>
        <w:t>set 1</w:t>
      </w:r>
      <w:r>
        <w:t xml:space="preserve"> -------------  50 kom</w:t>
      </w:r>
    </w:p>
    <w:p w:rsidR="007D712B" w:rsidRDefault="003D5528">
      <w:pPr>
        <w:pStyle w:val="Standard"/>
        <w:numPr>
          <w:ilvl w:val="0"/>
          <w:numId w:val="4"/>
        </w:numPr>
      </w:pPr>
      <w:r>
        <w:rPr>
          <w:b/>
          <w:bCs/>
        </w:rPr>
        <w:t>set 2</w:t>
      </w:r>
      <w:r>
        <w:t xml:space="preserve">--------------- 20 kom    </w:t>
      </w:r>
    </w:p>
    <w:p w:rsidR="007D712B" w:rsidRDefault="003D5528">
      <w:pPr>
        <w:pStyle w:val="Standard"/>
        <w:numPr>
          <w:ilvl w:val="0"/>
          <w:numId w:val="4"/>
        </w:numPr>
      </w:pPr>
      <w:r>
        <w:rPr>
          <w:b/>
          <w:bCs/>
        </w:rPr>
        <w:t>set 3</w:t>
      </w:r>
      <w:r>
        <w:t xml:space="preserve">--------------- 50 kom    </w:t>
      </w:r>
    </w:p>
    <w:p w:rsidR="007D712B" w:rsidRDefault="007D712B">
      <w:pPr>
        <w:pStyle w:val="Standard"/>
        <w:ind w:left="720"/>
      </w:pPr>
    </w:p>
    <w:p w:rsidR="007D712B" w:rsidRDefault="007D712B">
      <w:pPr>
        <w:pStyle w:val="Standard"/>
        <w:ind w:left="720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Mesečna poraba setov z op. pl</w:t>
      </w:r>
      <w:r>
        <w:rPr>
          <w:b/>
          <w:bCs/>
        </w:rPr>
        <w:t>ašči ˝B˝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rPr>
          <w:b/>
          <w:bCs/>
        </w:rPr>
        <w:t>set 4</w:t>
      </w:r>
      <w:r>
        <w:t>--------------- 20 kom</w:t>
      </w:r>
    </w:p>
    <w:p w:rsidR="007D712B" w:rsidRDefault="007D712B">
      <w:pPr>
        <w:pStyle w:val="Standard"/>
      </w:pPr>
    </w:p>
    <w:p w:rsidR="007D712B" w:rsidRDefault="007D712B">
      <w:pPr>
        <w:pStyle w:val="Standard"/>
        <w:rPr>
          <w:b/>
          <w:bCs/>
          <w:u w:val="single"/>
        </w:rPr>
      </w:pPr>
    </w:p>
    <w:p w:rsidR="007D712B" w:rsidRDefault="003D5528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Bistvene  zahteve:</w:t>
      </w:r>
    </w:p>
    <w:p w:rsidR="007D712B" w:rsidRDefault="007D712B">
      <w:pPr>
        <w:pStyle w:val="Standard"/>
        <w:rPr>
          <w:b/>
          <w:bCs/>
          <w:u w:val="single"/>
        </w:rPr>
      </w:pPr>
    </w:p>
    <w:p w:rsidR="007D712B" w:rsidRDefault="003D5528">
      <w:pPr>
        <w:pStyle w:val="Standard"/>
      </w:pPr>
      <w:r>
        <w:t>-material op. plaščev je za večkratno uporabo, mora biti skrbno pregledan na stekleni mizi, ki je s spodnje strani osvetljena, kar zagotavlja da so dobavljeni op. plašči brez poškodb. Metode za po</w:t>
      </w:r>
      <w:r>
        <w:t>pravilo poškodb morajo zagotoviti nespremenjeno funkcionalnost plašča. Plašč je brez kosmov, zagotovljena je nepropustnost tekočine.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-ponujeni op. plašči  morajo ustrezati zahtevam standarda EN 13795(priloga izjava da plašči ustrezajo zahtevam tega standa</w:t>
      </w:r>
      <w:r>
        <w:t>rda)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-naročnik mora priložiti certifikat ISO 13485:2003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-op. plašči so čisti, higiensko neoporečni, funkcijsko ustrezno zloženi.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-brezplačna zamenjava op. plašča ob obrabi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-pranje mora ustrezati pralno tehničnim in mikrobiološkim kakovostnim </w:t>
      </w:r>
      <w:r>
        <w:t>standardom za bolnišnične tekstilije (DIN EN 14065 ali RAL-GZ 992/2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-sterilizacija ustreza standardom EN 554 ( priloga izjava)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-seti morajo biti sestavljeni v pravilnem razpisanem zaporedju(specifikacija naročnika),zaviti v dvojnem papirju primernemu za </w:t>
      </w:r>
      <w:r>
        <w:t xml:space="preserve">sterilizacijo in dodatno zaščiteni z </w:t>
      </w:r>
      <w:proofErr w:type="spellStart"/>
      <w:r>
        <w:t>pvc</w:t>
      </w:r>
      <w:proofErr w:type="spellEnd"/>
      <w:r>
        <w:t xml:space="preserve"> folijo, omogočano je aseptično odpiranje setov. Sestava setov se tokom izdobave lahko spreminja, naročnik to sporoči v pisni obliki.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-ovojni papir mora ustrezati standardom  DIN 58953 8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-na posameznem setu je ozna</w:t>
      </w:r>
      <w:r>
        <w:t xml:space="preserve">čena vsebina seta, posamezni set je označen z črto kodo, številko </w:t>
      </w:r>
      <w:proofErr w:type="spellStart"/>
      <w:r>
        <w:t>sarže</w:t>
      </w:r>
      <w:proofErr w:type="spellEnd"/>
      <w:r>
        <w:t>, ta dokazuje sterilnost, način sterilizacije kar omogoča povratno sledenje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-poškodovane sete nadomesti dobavitelj brezplačno, kolikor se poškodba ugotovi s strani naročnika v 48 urah.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-sete pri katerih je rok uporabe potekel bo dobavitelj brezplačno zamenjal, razen v kolikor ni pri rokovanju naročnik upošteval principa „</w:t>
      </w:r>
      <w:proofErr w:type="spellStart"/>
      <w:r>
        <w:t>first</w:t>
      </w:r>
      <w:proofErr w:type="spellEnd"/>
      <w:r>
        <w:t xml:space="preserve"> -in-</w:t>
      </w:r>
      <w:proofErr w:type="spellStart"/>
      <w:r>
        <w:t>first</w:t>
      </w:r>
      <w:proofErr w:type="spellEnd"/>
      <w:r>
        <w:t xml:space="preserve"> out“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-seti morajo biti med transportom zaščiteni, da do njih ne pride vlaga, prah.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-dobavitelj pre</w:t>
      </w:r>
      <w:r>
        <w:t>vzame odvoz celotnega materiala, kateri nastane pri odstranitvi ovoja seta, pri tem naročnik ne zahteva posebnih licenc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-dobavitelj zagotovi ustrezno število vrečk za ločevanje odpadkov(ovoji seta) in op. plaščev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-prevzem nečistega blaga in ovojnine je 2</w:t>
      </w:r>
      <w:r>
        <w:t>x tedensko oziroma v izrednih primerih večkrat tedensko, dobavitelj zagotovi brezplačno uporabo transportnih vozičkov. Vozički zagotavljajo higiensko neoporečen transport, ki preprečuje prepustnost vode in zraka. Vozički so primerno vzdrževani, pri transpo</w:t>
      </w:r>
      <w:r>
        <w:t>rtu-oskrbi je potrebno zagotoviti, da vozički, v katerih so op. plašči dostavljeni ,ostanejo na oddelku do ponovne dostave.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-dobavitelj je obvezan dostaviti 2x tedensko sete in izpolniti naročniku 3-dnevno količino na mesto uporabe oziroma </w:t>
      </w:r>
      <w:r>
        <w:t>skladišče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-dobavitelj se obvezuje, da bo v roku 2 mesecev po prejemu naročila dobavil ustrezno količino op. plaščev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-dobavitelj se obvezuje organizirati šolanje  kadra v operacijskem bloku-organizira tako imenovani suhi trening, s strani strokovne osebe,</w:t>
      </w:r>
      <w:r>
        <w:t xml:space="preserve"> katera je dostopna za morebitna vprašanja.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-ponudnik mora priložiti 2 vzorca za posamezni segment.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-naročnik se obvezuje, da bo neprimeren  ali neustrezen vzorec, kateri ne ustreza navedeni specifikaciji, zavrnil, ponudnik ima možnost enkratnega ponovne</w:t>
      </w:r>
      <w:r>
        <w:t>ga vzorčenja.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-dobavitelj izvede 1x letno inventuro op plaščev</w:t>
      </w:r>
    </w:p>
    <w:p w:rsidR="007D712B" w:rsidRDefault="007D712B">
      <w:pPr>
        <w:pStyle w:val="Standard"/>
      </w:pP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Posebni pogoji  za ponudnika:</w:t>
      </w:r>
    </w:p>
    <w:p w:rsidR="007D712B" w:rsidRDefault="007D712B">
      <w:pPr>
        <w:pStyle w:val="Standard"/>
      </w:pP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Splošno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Karakteristike op. plaščev morajo biti v skladu z standardom EN 13 795 in zakonu o medicinskih proizvodih NN 76/13,ter evropski  direktivi 93/42 EEZ(</w:t>
      </w:r>
      <w:r>
        <w:t xml:space="preserve"> direktiva za medicinske proizvode).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Količina  setov</w:t>
      </w:r>
    </w:p>
    <w:p w:rsidR="007D712B" w:rsidRDefault="007D712B">
      <w:pPr>
        <w:pStyle w:val="Standard"/>
        <w:rPr>
          <w:b/>
          <w:bCs/>
        </w:rPr>
      </w:pPr>
    </w:p>
    <w:p w:rsidR="007D712B" w:rsidRDefault="003D5528">
      <w:pPr>
        <w:pStyle w:val="Standard"/>
      </w:pPr>
      <w:r>
        <w:t>Dobavitelj je obvezan dostaviti 2x tedensko sete in izpolniti naročniku 3-dnevno količino na mesto uporabe oziroma skladišče</w:t>
      </w:r>
    </w:p>
    <w:p w:rsidR="007D712B" w:rsidRDefault="007D712B">
      <w:pPr>
        <w:pStyle w:val="Standard"/>
      </w:pPr>
    </w:p>
    <w:p w:rsidR="007D712B" w:rsidRDefault="007D712B">
      <w:pPr>
        <w:pStyle w:val="Standard"/>
      </w:pP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Pakiranje in embalaža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Sterilni plašči morajo biti zapakirani po </w:t>
      </w:r>
      <w:r>
        <w:t>sledeči način:</w:t>
      </w:r>
    </w:p>
    <w:p w:rsidR="007D712B" w:rsidRDefault="003D5528">
      <w:pPr>
        <w:pStyle w:val="Standard"/>
        <w:numPr>
          <w:ilvl w:val="0"/>
          <w:numId w:val="5"/>
        </w:numPr>
      </w:pPr>
      <w:r>
        <w:t>zunanje pakiranje-zaščita iz PE materiala</w:t>
      </w:r>
    </w:p>
    <w:p w:rsidR="007D712B" w:rsidRDefault="003D5528">
      <w:pPr>
        <w:pStyle w:val="Standard"/>
        <w:numPr>
          <w:ilvl w:val="0"/>
          <w:numId w:val="5"/>
        </w:numPr>
      </w:pPr>
      <w:r>
        <w:t>ovojni papir mora biti skladno z normami DIN 58953 8</w:t>
      </w:r>
    </w:p>
    <w:p w:rsidR="007D712B" w:rsidRDefault="003D5528">
      <w:pPr>
        <w:pStyle w:val="Standard"/>
        <w:numPr>
          <w:ilvl w:val="0"/>
          <w:numId w:val="5"/>
        </w:numPr>
      </w:pPr>
      <w:r>
        <w:t>op. plašč mora biti zložen po zahtevah</w:t>
      </w:r>
    </w:p>
    <w:p w:rsidR="007D712B" w:rsidRDefault="003D5528">
      <w:pPr>
        <w:pStyle w:val="Standard"/>
        <w:numPr>
          <w:ilvl w:val="0"/>
          <w:numId w:val="5"/>
        </w:numPr>
      </w:pPr>
      <w:r>
        <w:lastRenderedPageBreak/>
        <w:t>sestava seta  mora ustrezati specifikaciji določenega seta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Iz samolepljive  etikete na setu se mora </w:t>
      </w:r>
      <w:r>
        <w:t>razbrati:</w:t>
      </w:r>
    </w:p>
    <w:p w:rsidR="007D712B" w:rsidRDefault="003D5528">
      <w:pPr>
        <w:pStyle w:val="Standard"/>
        <w:numPr>
          <w:ilvl w:val="0"/>
          <w:numId w:val="6"/>
        </w:numPr>
      </w:pPr>
      <w:r>
        <w:t>naziv seta</w:t>
      </w:r>
    </w:p>
    <w:p w:rsidR="007D712B" w:rsidRDefault="003D5528">
      <w:pPr>
        <w:pStyle w:val="Standard"/>
        <w:numPr>
          <w:ilvl w:val="0"/>
          <w:numId w:val="6"/>
        </w:numPr>
      </w:pPr>
      <w:r>
        <w:t>oznaka sterilnosti</w:t>
      </w:r>
    </w:p>
    <w:p w:rsidR="007D712B" w:rsidRDefault="003D5528">
      <w:pPr>
        <w:pStyle w:val="Standard"/>
        <w:numPr>
          <w:ilvl w:val="0"/>
          <w:numId w:val="6"/>
        </w:numPr>
      </w:pPr>
      <w:r>
        <w:t>datum pakiranja in sterilnosti</w:t>
      </w:r>
    </w:p>
    <w:p w:rsidR="007D712B" w:rsidRDefault="003D5528">
      <w:pPr>
        <w:pStyle w:val="Standard"/>
        <w:numPr>
          <w:ilvl w:val="0"/>
          <w:numId w:val="6"/>
        </w:numPr>
      </w:pPr>
      <w:r>
        <w:t>datum izteka sterilnosti</w:t>
      </w:r>
    </w:p>
    <w:p w:rsidR="007D712B" w:rsidRDefault="003D5528">
      <w:pPr>
        <w:pStyle w:val="Standard"/>
        <w:numPr>
          <w:ilvl w:val="0"/>
          <w:numId w:val="6"/>
        </w:numPr>
      </w:pPr>
      <w:r>
        <w:t>CE oznaka</w:t>
      </w:r>
    </w:p>
    <w:p w:rsidR="007D712B" w:rsidRDefault="003D5528">
      <w:pPr>
        <w:pStyle w:val="Standard"/>
        <w:numPr>
          <w:ilvl w:val="0"/>
          <w:numId w:val="6"/>
        </w:numPr>
      </w:pPr>
      <w:r>
        <w:t>bar koda</w:t>
      </w:r>
    </w:p>
    <w:p w:rsidR="007D712B" w:rsidRDefault="003D5528">
      <w:pPr>
        <w:pStyle w:val="Standard"/>
        <w:numPr>
          <w:ilvl w:val="0"/>
          <w:numId w:val="6"/>
        </w:numPr>
      </w:pPr>
      <w:r>
        <w:t>set vsebuje 3 samolepljive etikete z barvno kodo, katere so samolepljive; prva etiketa se prilepi na naročilnico, katero se dostavi naročniku</w:t>
      </w:r>
      <w:r>
        <w:t xml:space="preserve">, druga etiketa se nalepi na interni dokument(op. zapisnik),tretja pa ostane na setu.  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Transport sterilnih setov se izvaja z zaprtimi vozički. Ponudnik zagotovi </w:t>
      </w:r>
      <w:proofErr w:type="spellStart"/>
      <w:r>
        <w:t>pvc</w:t>
      </w:r>
      <w:proofErr w:type="spellEnd"/>
      <w:r>
        <w:t xml:space="preserve"> vreče za ovojni papir in op. plašče, ter odvoz le teh.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Kontrola kvalitete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Op. plašči mo</w:t>
      </w:r>
      <w:r>
        <w:t>rajo biti skrbno pregledani, ne smejo biti poškodovani. V kolikor plašč ne ustreza, se ga takoj zamenja.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Dokaz sterilnosti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Na vsakem op. setu se nahaja etiketa z podatki o datumu sterilizacije, datumom izteka in kontrolnim številom </w:t>
      </w:r>
      <w:proofErr w:type="spellStart"/>
      <w:r>
        <w:t>sarže</w:t>
      </w:r>
      <w:proofErr w:type="spellEnd"/>
      <w:r>
        <w:t xml:space="preserve">. Vidna kontrola </w:t>
      </w:r>
      <w:r>
        <w:t>se preveri preko indikatorja, kateri se nahaja na vsakem paketu, kateri se ob uspešno opravljeni sterilizaciji obarva .Sterilnost setov je najmanj 6 mesece. Sterilne sete, katerim je rok sterilnosti potekel, se brezplačno zamenja.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>Parna sterilizacija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Ste</w:t>
      </w:r>
      <w:r>
        <w:t xml:space="preserve">rilizacija se odvija skladno z evropskimi normami EN ISO 17665-1:006 in skladno z uredbami zakonu o medicinskih proizvodih NN 76/13. Dnevno je potrebno izvesti postopek kontrole sterilizacije, ki vključuje test vakuma in </w:t>
      </w:r>
      <w:proofErr w:type="spellStart"/>
      <w:r>
        <w:t>bowei-dick</w:t>
      </w:r>
      <w:proofErr w:type="spellEnd"/>
      <w:r>
        <w:t xml:space="preserve"> test.</w:t>
      </w:r>
    </w:p>
    <w:p w:rsidR="007D712B" w:rsidRDefault="007D712B">
      <w:pPr>
        <w:pStyle w:val="Standard"/>
      </w:pPr>
    </w:p>
    <w:p w:rsidR="007D712B" w:rsidRDefault="003D5528">
      <w:pPr>
        <w:pStyle w:val="Standard"/>
        <w:rPr>
          <w:b/>
          <w:bCs/>
        </w:rPr>
      </w:pPr>
      <w:r>
        <w:rPr>
          <w:b/>
          <w:bCs/>
        </w:rPr>
        <w:t xml:space="preserve">Izjava </w:t>
      </w:r>
      <w:r>
        <w:rPr>
          <w:b/>
          <w:bCs/>
        </w:rPr>
        <w:t>ponudnika:</w:t>
      </w:r>
    </w:p>
    <w:p w:rsidR="007D712B" w:rsidRDefault="007D712B">
      <w:pPr>
        <w:pStyle w:val="Standard"/>
        <w:rPr>
          <w:b/>
          <w:bCs/>
        </w:rPr>
      </w:pPr>
    </w:p>
    <w:p w:rsidR="007D712B" w:rsidRDefault="003D5528">
      <w:pPr>
        <w:pStyle w:val="Standard"/>
      </w:pPr>
      <w:r>
        <w:t>Ponudnik mora ponudbi priložiti izjavo, da ponujeni seti operacijskih plaščev ustrezajo vsem zgoraj navedenim karakteristikam in kvaliteti .</w:t>
      </w:r>
    </w:p>
    <w:p w:rsidR="007D712B" w:rsidRDefault="003D5528">
      <w:pPr>
        <w:pStyle w:val="Standard"/>
      </w:pPr>
      <w:r>
        <w:t xml:space="preserve">                                                                          </w:t>
      </w:r>
    </w:p>
    <w:p w:rsidR="007D712B" w:rsidRDefault="007D712B">
      <w:pPr>
        <w:pStyle w:val="Standard"/>
      </w:pPr>
    </w:p>
    <w:p w:rsidR="007D712B" w:rsidRDefault="007D712B">
      <w:pPr>
        <w:pStyle w:val="Standard"/>
      </w:pP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>Izbrani CPV</w:t>
      </w:r>
    </w:p>
    <w:p w:rsidR="007D712B" w:rsidRDefault="007D712B">
      <w:pPr>
        <w:pStyle w:val="Standard"/>
      </w:pPr>
    </w:p>
    <w:p w:rsidR="007D712B" w:rsidRDefault="003D5528">
      <w:pPr>
        <w:pStyle w:val="Standard"/>
      </w:pPr>
      <w:r>
        <w:t xml:space="preserve">         983</w:t>
      </w:r>
      <w:r>
        <w:t>10000-storitve pralnic in kemičnih čistilnic</w:t>
      </w:r>
    </w:p>
    <w:p w:rsidR="007D712B" w:rsidRDefault="003D5528">
      <w:pPr>
        <w:pStyle w:val="Standard"/>
      </w:pPr>
      <w:r>
        <w:t xml:space="preserve">         33141620-2 medicinski kompleti</w:t>
      </w:r>
    </w:p>
    <w:p w:rsidR="007D712B" w:rsidRDefault="007D712B">
      <w:pPr>
        <w:pStyle w:val="Standard"/>
      </w:pPr>
    </w:p>
    <w:sectPr w:rsidR="007D712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28" w:rsidRDefault="003D5528">
      <w:r>
        <w:separator/>
      </w:r>
    </w:p>
  </w:endnote>
  <w:endnote w:type="continuationSeparator" w:id="0">
    <w:p w:rsidR="003D5528" w:rsidRDefault="003D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28" w:rsidRDefault="003D5528">
      <w:r>
        <w:rPr>
          <w:color w:val="000000"/>
        </w:rPr>
        <w:separator/>
      </w:r>
    </w:p>
  </w:footnote>
  <w:footnote w:type="continuationSeparator" w:id="0">
    <w:p w:rsidR="003D5528" w:rsidRDefault="003D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0F"/>
    <w:multiLevelType w:val="multilevel"/>
    <w:tmpl w:val="1E366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B72DEE"/>
    <w:multiLevelType w:val="multilevel"/>
    <w:tmpl w:val="7ECA8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186078"/>
    <w:multiLevelType w:val="multilevel"/>
    <w:tmpl w:val="61D6E8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5C496C"/>
    <w:multiLevelType w:val="multilevel"/>
    <w:tmpl w:val="ECC840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0EE260B"/>
    <w:multiLevelType w:val="multilevel"/>
    <w:tmpl w:val="48B0F8A2"/>
    <w:lvl w:ilvl="0">
      <w:numFmt w:val="bullet"/>
      <w:lvlText w:val="•"/>
      <w:lvlJc w:val="left"/>
      <w:pPr>
        <w:ind w:left="78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74976C8"/>
    <w:multiLevelType w:val="multilevel"/>
    <w:tmpl w:val="4748E8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12B"/>
    <w:rsid w:val="003D5528"/>
    <w:rsid w:val="007D712B"/>
    <w:rsid w:val="00E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AD9B-37D3-4964-BFA2-E4618F20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cp:lastPrinted>2016-04-13T12:25:00Z</cp:lastPrinted>
  <dcterms:created xsi:type="dcterms:W3CDTF">2019-09-05T12:57:00Z</dcterms:created>
  <dcterms:modified xsi:type="dcterms:W3CDTF">2019-09-05T12:57:00Z</dcterms:modified>
</cp:coreProperties>
</file>