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both"/>
        <w:rPr>
          <w:rFonts w:ascii="Tahoma" w:hAnsi="Tahoma" w:eastAsia="HG Mincho Light J" w:cs="Tahoma"/>
          <w:sz w:val="20"/>
          <w:szCs w:val="20"/>
          <w:lang w:val="sl-SI" w:eastAsia="sl-SI"/>
        </w:rPr>
      </w:pPr>
      <w:r>
        <w:rPr>
          <w:rFonts w:eastAsia="HG Mincho Light J" w:cs="Tahoma" w:ascii="Tahoma" w:hAnsi="Tahoma"/>
          <w:sz w:val="20"/>
          <w:szCs w:val="20"/>
          <w:lang w:val="sl-SI" w:eastAsia="sl-SI"/>
        </w:rPr>
        <w:t xml:space="preserve">Predmet </w:t>
      </w:r>
      <w:r>
        <w:rPr>
          <w:rFonts w:eastAsia="HG Mincho Light J" w:cs="Tahoma" w:ascii="Tahoma" w:hAnsi="Tahoma"/>
          <w:sz w:val="20"/>
          <w:szCs w:val="20"/>
          <w:lang w:val="sl-SI" w:eastAsia="sl-SI"/>
        </w:rPr>
        <w:t>evidenčnega</w:t>
      </w:r>
      <w:r>
        <w:rPr>
          <w:rFonts w:eastAsia="HG Mincho Light J" w:cs="Tahoma" w:ascii="Tahoma" w:hAnsi="Tahoma"/>
          <w:sz w:val="20"/>
          <w:szCs w:val="20"/>
          <w:lang w:val="sl-SI" w:eastAsia="sl-SI"/>
        </w:rPr>
        <w:t xml:space="preserve"> naročila je sklenitev </w:t>
      </w:r>
      <w:r>
        <w:rPr>
          <w:rFonts w:eastAsia="HG Mincho Light J" w:cs="Tahoma" w:ascii="Tahoma" w:hAnsi="Tahoma"/>
          <w:sz w:val="20"/>
          <w:szCs w:val="20"/>
          <w:lang w:val="sl-SI" w:eastAsia="sl-SI"/>
        </w:rPr>
        <w:t>pogodbe</w:t>
      </w:r>
      <w:r>
        <w:rPr>
          <w:rFonts w:eastAsia="HG Mincho Light J" w:cs="Tahoma" w:ascii="Tahoma" w:hAnsi="Tahoma"/>
          <w:sz w:val="20"/>
          <w:szCs w:val="20"/>
          <w:lang w:val="sl-SI" w:eastAsia="sl-SI"/>
        </w:rPr>
        <w:t xml:space="preserve"> za vzdrževanje in servisiranje dvigal skladno s Pravilnikom o varnosti dvigal  in drugimi  veljavnimi predpisi, standardi in normativi ter dobro prakso in sicer:</w:t>
      </w:r>
    </w:p>
    <w:p>
      <w:pPr>
        <w:pStyle w:val="Normal"/>
        <w:suppressAutoHyphens w:val="true"/>
        <w:spacing w:lineRule="auto" w:line="240" w:before="0" w:after="0"/>
        <w:jc w:val="both"/>
        <w:rPr>
          <w:rFonts w:ascii="Tahoma" w:hAnsi="Tahoma" w:eastAsia="HG Mincho Light J" w:cs="Tahoma"/>
          <w:sz w:val="20"/>
          <w:szCs w:val="20"/>
          <w:lang w:val="sl-SI" w:eastAsia="sl-SI"/>
        </w:rPr>
      </w:pPr>
      <w:r>
        <w:rPr>
          <w:rFonts w:eastAsia="HG Mincho Light J" w:cs="Tahoma" w:ascii="Tahoma" w:hAnsi="Tahoma"/>
          <w:sz w:val="20"/>
          <w:szCs w:val="20"/>
          <w:lang w:val="sl-SI" w:eastAsia="sl-SI"/>
        </w:rPr>
      </w:r>
    </w:p>
    <w:p>
      <w:pPr>
        <w:pStyle w:val="Normal"/>
        <w:suppressAutoHyphens w:val="true"/>
        <w:spacing w:lineRule="auto" w:line="240" w:before="0" w:after="0"/>
        <w:jc w:val="both"/>
        <w:rPr>
          <w:rFonts w:ascii="Tahoma" w:hAnsi="Tahoma" w:eastAsia="HG Mincho Light J" w:cs="Tahoma"/>
          <w:sz w:val="20"/>
          <w:szCs w:val="20"/>
          <w:lang w:val="sl-SI" w:eastAsia="sl-SI"/>
        </w:rPr>
      </w:pPr>
      <w:r>
        <w:rPr>
          <w:rFonts w:eastAsia="HG Mincho Light J" w:cs="Tahoma" w:ascii="Tahoma" w:hAnsi="Tahoma"/>
          <w:sz w:val="20"/>
          <w:szCs w:val="20"/>
          <w:lang w:val="sl-SI" w:eastAsia="sl-SI"/>
        </w:rPr>
        <w:t>ad1) storitve rednega mesečnega vzdrževanja, vključno z odpravljanjem napak in poškodb naprav, zamenjavo obrabljenih  in pokvarjenih elementov, zagotavljanjem rezervnih delov,</w:t>
      </w:r>
    </w:p>
    <w:p>
      <w:pPr>
        <w:pStyle w:val="Normal"/>
        <w:suppressAutoHyphens w:val="true"/>
        <w:spacing w:lineRule="auto" w:line="240" w:before="0" w:after="0"/>
        <w:jc w:val="both"/>
        <w:rPr>
          <w:rFonts w:ascii="Tahoma" w:hAnsi="Tahoma" w:eastAsia="HG Mincho Light J" w:cs="Tahoma"/>
          <w:sz w:val="20"/>
          <w:szCs w:val="20"/>
          <w:lang w:val="sl-SI" w:eastAsia="sl-SI"/>
        </w:rPr>
      </w:pPr>
      <w:r>
        <w:rPr>
          <w:rFonts w:eastAsia="HG Mincho Light J" w:cs="Tahoma" w:ascii="Tahoma" w:hAnsi="Tahoma"/>
          <w:sz w:val="20"/>
          <w:szCs w:val="20"/>
          <w:lang w:val="sl-SI" w:eastAsia="sl-SI"/>
        </w:rPr>
        <w:t xml:space="preserve">ad2) druge servisne storitve izven rednega mesečnega vzdrževanja vključno z odpravljanjem napak in poškodb naprav, zamenjavo obrabljenih  in pokvarjenih elementov, zagotavljanjem rezervnih delov, ipd. </w:t>
      </w:r>
    </w:p>
    <w:p>
      <w:pPr>
        <w:pStyle w:val="Normal"/>
        <w:suppressAutoHyphens w:val="true"/>
        <w:spacing w:lineRule="auto" w:line="240" w:before="0" w:after="0"/>
        <w:jc w:val="both"/>
        <w:rPr>
          <w:rFonts w:ascii="Tahoma" w:hAnsi="Tahoma" w:eastAsia="HG Mincho Light J" w:cs="Tahoma"/>
          <w:sz w:val="20"/>
          <w:szCs w:val="20"/>
          <w:lang w:val="sl-SI" w:eastAsia="sl-SI"/>
        </w:rPr>
      </w:pPr>
      <w:r>
        <w:rPr>
          <w:rFonts w:eastAsia="HG Mincho Light J" w:cs="Tahoma" w:ascii="Tahoma" w:hAnsi="Tahoma"/>
          <w:sz w:val="20"/>
          <w:szCs w:val="20"/>
          <w:lang w:val="sl-SI" w:eastAsia="sl-SI"/>
        </w:rPr>
        <w:t xml:space="preserve">ad3) sodelovanje pri letnem tehničnem pregledu oz. preskusu dvigal </w:t>
      </w:r>
    </w:p>
    <w:p>
      <w:pPr>
        <w:pStyle w:val="Normal"/>
        <w:suppressAutoHyphens w:val="true"/>
        <w:spacing w:lineRule="auto" w:line="240" w:before="0" w:after="0"/>
        <w:jc w:val="both"/>
        <w:rPr>
          <w:rFonts w:ascii="Tahoma" w:hAnsi="Tahoma" w:eastAsia="HG Mincho Light J" w:cs="Tahoma"/>
          <w:sz w:val="20"/>
          <w:szCs w:val="20"/>
          <w:lang w:val="sl-SI" w:eastAsia="sl-SI"/>
        </w:rPr>
      </w:pPr>
      <w:r>
        <w:rPr>
          <w:rFonts w:eastAsia="HG Mincho Light J" w:cs="Tahoma" w:ascii="Tahoma" w:hAnsi="Tahoma"/>
          <w:sz w:val="20"/>
          <w:szCs w:val="20"/>
          <w:lang w:val="sl-SI" w:eastAsia="sl-SI"/>
        </w:rPr>
      </w:r>
    </w:p>
    <w:p>
      <w:pPr>
        <w:pStyle w:val="Normal"/>
        <w:rPr>
          <w:rFonts w:ascii="Tahoma" w:hAnsi="Tahoma" w:cs="Tahoma"/>
          <w:b/>
          <w:b/>
          <w:sz w:val="20"/>
          <w:szCs w:val="20"/>
          <w:lang w:val="sl-SI"/>
        </w:rPr>
      </w:pPr>
      <w:r>
        <w:rPr>
          <w:rFonts w:cs="Tahoma" w:ascii="Tahoma" w:hAnsi="Tahoma"/>
          <w:b/>
          <w:sz w:val="20"/>
          <w:szCs w:val="20"/>
          <w:lang w:val="sl-SI"/>
        </w:rPr>
        <w:t>Opis in zahteve naročnika</w:t>
      </w:r>
    </w:p>
    <w:p>
      <w:pPr>
        <w:pStyle w:val="Normal"/>
        <w:suppressAutoHyphens w:val="true"/>
        <w:spacing w:lineRule="auto" w:line="240" w:before="0" w:after="0"/>
        <w:rPr>
          <w:rFonts w:ascii="Tahoma" w:hAnsi="Tahoma" w:eastAsia="HG Mincho Light J" w:cs="Tahoma"/>
          <w:b/>
          <w:b/>
          <w:bCs/>
          <w:sz w:val="20"/>
          <w:szCs w:val="20"/>
          <w:lang w:val="sl-SI" w:eastAsia="sl-SI"/>
        </w:rPr>
      </w:pPr>
      <w:r>
        <w:rPr>
          <w:rFonts w:eastAsia="HG Mincho Light J" w:cs="Tahoma" w:ascii="Tahoma" w:hAnsi="Tahoma"/>
          <w:b/>
          <w:bCs/>
          <w:sz w:val="20"/>
          <w:szCs w:val="20"/>
          <w:lang w:val="sl-SI" w:eastAsia="sl-SI"/>
        </w:rPr>
        <w:t xml:space="preserve">Ad1) </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 xml:space="preserve">Izvajalec se obvezuje izvajati storitve rednega in izrednega vzdrževanja (redni pregledi, preventivno vzdrževanje, nastavitve in popravila) na dvigalih proizvajalca osebnih dvigal, v skladu z vsakokratnim veljavnim Pravilnikom o varnosti dvigal in v skladu z DIN EN 13015. </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Izvajalec mora biti usposobljen za servisiranje in vzdrževanje dvigal (vključno z krmilno programsko opremo), razpolagati mora z ustrezno programsko opremo, rezervnimi deli, strokovnim znanjem in usposobljenimi kadri.</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Izvedba rednega servisiranja in kontrola delovanja dvigal obsega;</w:t>
      </w:r>
    </w:p>
    <w:p>
      <w:pPr>
        <w:pStyle w:val="Normal"/>
        <w:numPr>
          <w:ilvl w:val="0"/>
          <w:numId w:val="1"/>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Pregled delovanja in uravnavanje pogonske enote, pregledovanje sredstev za obešanje, menjalnikov, zavor, pogonske vrvenice in valjev, vrvi, vrvenice deflektorja, jaškovnih vrat in vodil dvigal,</w:t>
      </w:r>
    </w:p>
    <w:p>
      <w:pPr>
        <w:pStyle w:val="Normal"/>
        <w:numPr>
          <w:ilvl w:val="0"/>
          <w:numId w:val="1"/>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Ustrezno mazanje zgoraj navedenih podsestavnih delov za zagotavljanje delovanja dvigal,</w:t>
      </w:r>
    </w:p>
    <w:p>
      <w:pPr>
        <w:pStyle w:val="Normal"/>
        <w:numPr>
          <w:ilvl w:val="0"/>
          <w:numId w:val="1"/>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Pregledovanje in uravnavanje potovalnih lastnosti dvigala, še zlasti pravilnega pristajanja,</w:t>
      </w:r>
    </w:p>
    <w:p>
      <w:pPr>
        <w:pStyle w:val="Normal"/>
        <w:numPr>
          <w:ilvl w:val="0"/>
          <w:numId w:val="1"/>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Vizualni pregled in preverjanje delovanja stikal, krmilnega in nadzornega sistema ter druge varnostne opreme ter pokazateljev in razsvetljave,</w:t>
      </w:r>
    </w:p>
    <w:p>
      <w:pPr>
        <w:pStyle w:val="Normal"/>
        <w:numPr>
          <w:ilvl w:val="0"/>
          <w:numId w:val="1"/>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Pregled delovanja in morebitnih napak v delovanju dvigal,</w:t>
      </w:r>
    </w:p>
    <w:p>
      <w:pPr>
        <w:pStyle w:val="Normal"/>
        <w:numPr>
          <w:ilvl w:val="0"/>
          <w:numId w:val="1"/>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Preverjanje ravni olja pogonske enote,</w:t>
      </w:r>
    </w:p>
    <w:p>
      <w:pPr>
        <w:pStyle w:val="Normal"/>
        <w:numPr>
          <w:ilvl w:val="0"/>
          <w:numId w:val="1"/>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Čiščenje zgoraj navedenih podsestavnih delov dvigal do mere potrebne za ohranjanje delovanja opreme,</w:t>
      </w:r>
    </w:p>
    <w:p>
      <w:pPr>
        <w:pStyle w:val="Normal"/>
        <w:numPr>
          <w:ilvl w:val="0"/>
          <w:numId w:val="1"/>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2x letno čiščenje strojnice in strehe dvigala ter odstranjevanje umazanije v jašku.</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Izvajalec bo opravljal redne pregled dvigal brez predhodnega pisnega poziva naročnika.</w:t>
      </w:r>
    </w:p>
    <w:p>
      <w:pPr>
        <w:pStyle w:val="Normal"/>
        <w:suppressAutoHyphens w:val="true"/>
        <w:spacing w:lineRule="auto" w:line="240" w:before="0" w:after="0"/>
        <w:rPr>
          <w:rFonts w:ascii="Tahoma" w:hAnsi="Tahoma" w:eastAsia="HG Mincho Light J" w:cs="Tahoma"/>
          <w:b/>
          <w:b/>
          <w:bCs/>
          <w:sz w:val="20"/>
          <w:szCs w:val="20"/>
          <w:lang w:val="sl-SI" w:eastAsia="sl-SI"/>
        </w:rPr>
      </w:pPr>
      <w:r>
        <w:rPr>
          <w:rFonts w:eastAsia="HG Mincho Light J" w:cs="Tahoma" w:ascii="Tahoma" w:hAnsi="Tahoma"/>
          <w:b/>
          <w:bCs/>
          <w:sz w:val="20"/>
          <w:szCs w:val="20"/>
          <w:lang w:val="sl-SI" w:eastAsia="sl-SI"/>
        </w:rPr>
        <w:t>Ad2)</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Intervencijska popravilo bo izvajalec zaračunal posebej po opravljenem interventnem posegu oz. delu in na podlagi s strani naročnika podpisanega delovnega naloga.</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Izvajalec je dolžan popraviti ali zamenjati;</w:t>
      </w:r>
    </w:p>
    <w:p>
      <w:pPr>
        <w:pStyle w:val="Normal"/>
        <w:numPr>
          <w:ilvl w:val="0"/>
          <w:numId w:val="2"/>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Vse dele, ki so zaradi obrabljenosti postali neuporabni, kot na primer: menjalnik, motor, hitrostni regulator, zavore, mehanski sistem izbire nadstropij, deli krmilnega sistema, obesišča vrat, pogon vrat, varnostni mehanizem, vrvenica deflektorja ipd.,</w:t>
      </w:r>
    </w:p>
    <w:p>
      <w:pPr>
        <w:pStyle w:val="Normal"/>
        <w:numPr>
          <w:ilvl w:val="0"/>
          <w:numId w:val="2"/>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Pravočasno zamenjati obešalne vrvi, vrvi za mehansko izbiro nadstropij, pogonske vrvenice, pogonska kolesa in viseče kable z namenom, da bi zagotovilo varnost v skladu z veljavno zakonodajo,</w:t>
      </w:r>
    </w:p>
    <w:p>
      <w:pPr>
        <w:pStyle w:val="Normal"/>
        <w:numPr>
          <w:ilvl w:val="0"/>
          <w:numId w:val="2"/>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V redni intervalih v skladu z navodili proizvajalca oz. dobro prakso menjava olja v pogonskih enotah dvižnih naprav in staro olje tudi primerno odstrani,</w:t>
      </w:r>
    </w:p>
    <w:p>
      <w:pPr>
        <w:pStyle w:val="Normal"/>
        <w:numPr>
          <w:ilvl w:val="0"/>
          <w:numId w:val="2"/>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V času izvajanja rednih pregledov in preventivnega vzdrževanja dvigala zamenja okvarjene ali</w:t>
      </w:r>
    </w:p>
    <w:p>
      <w:pPr>
        <w:pStyle w:val="Normal"/>
        <w:numPr>
          <w:ilvl w:val="0"/>
          <w:numId w:val="2"/>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Poškodovane luči v kabini dvigala, strojnici dvigala in dvigalnih jaških.</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V primeru okvar je izvajalec dolžan odpraviti napake v delovanju dvižnih naprav, ki so ugotovljene med rednimi pregledi ali med izvajanjem preventivnega vzdrževanja ali se pojavijo med posameznimi pregledi in jih stranka ali pooblaščena tretja oseba prijavi. Izvajalec se obvezuje, da bo pridobil ves potreben material in popravilo izvedel v treh delovnih dneh od prijave napake ter pri tem uporabil originalne nadomestne dele oz. ustrezno nadomestilo v primeru, da originalnega dela ni več na voljo.</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V primeru večjih okvar in potrebnih zamenjav posameznih rezervnih delov, bo izvajalec na podlagi predhodnega ogled izdelal ponudbo potrebnih del in zamenjav, s katerimi bi ponovno vzpostavil brezhibno delovanje sistema in jo izročil v odobritev pooblaščeni osebi naročnika.</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 xml:space="preserve">Predmet naročila so tudi storitve, ki se nanašajo na tehnične izboljšave ter modifikacije, tudi v kolikor je izvedba teh zahtevana na podlagi novih predpisov ali na podlagi priporočil ali sklepov s strani odgovornih pristojnih organov. Tudi v tem primeru bo izvajalec na podlagi predhodnega ogleda izdelal ponudbo potrebnih del in zamenjav in jo izročil v odobritev pooblačeni osebi naročnika. </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Izredno vzdrževanje se opravlja v rednem delovnem času (od ponedeljka do petka med 7.00 in 15.00 ure), razen kadar bi to povzročilo večje motnje v procesu dela naročnika oz. v primeru nujne odprave napake – po dogovoru s pooblaščeno osebo naročnika.</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Po opravljenem popravilu izda izvajalec naročniku poročilo o popravilu za vsako dvigalo posebej (delovni nalog). Prevzem se opravi za vsako dvigalo posebej. O prevzemu se napiše zapisnik, ki je priloga izstavljenemu računu.</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Garancija na rezervne dele ter opravljeno storitev najmanj 12 mesecev od zaključka popravila (oz. prevzema) posameznega dvigala.</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Ponudnik bo za zamenjavo obrabljenih rezervnih delo izstavil račun za vsako dvigalo posebej po opravljenih delih. Priloga računa je podpisan prevzemni zapisnik s strani pogodbenih strank.</w:t>
      </w:r>
    </w:p>
    <w:p>
      <w:pPr>
        <w:pStyle w:val="Normal"/>
        <w:spacing w:lineRule="auto" w:line="240" w:before="0" w:after="0"/>
        <w:rPr>
          <w:rFonts w:ascii="Tahoma" w:hAnsi="Tahoma" w:cs="Tahoma"/>
          <w:b/>
          <w:b/>
          <w:sz w:val="20"/>
          <w:szCs w:val="20"/>
          <w:lang w:val="sl-SI"/>
        </w:rPr>
      </w:pPr>
      <w:r>
        <w:rPr>
          <w:rFonts w:cs="Tahoma" w:ascii="Tahoma" w:hAnsi="Tahoma"/>
          <w:b/>
          <w:sz w:val="20"/>
          <w:szCs w:val="20"/>
          <w:lang w:val="sl-SI"/>
        </w:rPr>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Odzivni čas</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Izvajalec se mora odzvati:</w:t>
      </w:r>
    </w:p>
    <w:p>
      <w:pPr>
        <w:pStyle w:val="Normal"/>
        <w:numPr>
          <w:ilvl w:val="0"/>
          <w:numId w:val="3"/>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V 3 urah od prejetja obvestila o okvari v delovnem času (od 7. do 17. ure)</w:t>
      </w:r>
    </w:p>
    <w:p>
      <w:pPr>
        <w:pStyle w:val="Normal"/>
        <w:numPr>
          <w:ilvl w:val="0"/>
          <w:numId w:val="3"/>
        </w:numPr>
        <w:suppressAutoHyphens w:val="true"/>
        <w:spacing w:lineRule="auto" w:line="240" w:before="0" w:after="0"/>
        <w:contextualSpacing/>
        <w:rPr>
          <w:rFonts w:ascii="Tahoma" w:hAnsi="Tahoma" w:eastAsia="HG Mincho Light J" w:cs="Tahoma"/>
          <w:sz w:val="20"/>
          <w:szCs w:val="20"/>
          <w:lang w:val="sl-SI" w:eastAsia="sl-SI"/>
        </w:rPr>
      </w:pPr>
      <w:r>
        <w:rPr>
          <w:rFonts w:eastAsia="HG Mincho Light J" w:cs="Tahoma" w:ascii="Tahoma" w:hAnsi="Tahoma"/>
          <w:sz w:val="20"/>
          <w:szCs w:val="20"/>
          <w:lang w:val="sl-SI" w:eastAsia="sl-SI"/>
        </w:rPr>
        <w:t>V 6 urah od prejetja obvestila o okvari izven delovnega časa.</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Prijavo izvede naročnik (skrbnik pogodbe oz. njegov namestnik oz. vzdrževalec naročnika).</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Po prejetju obvestila o okvari s strani  naročnika je izvajalec dolžan popraviti dvigalo v treh delovnih dneh od prijave napake. Pri servisiranju in ugotovljenih večjih pomanjkljivosti, mora izklopiti dvigalo in obvestiti naročnika oz. uporabnika.</w:t>
      </w:r>
    </w:p>
    <w:p>
      <w:pPr>
        <w:pStyle w:val="Normal"/>
        <w:spacing w:lineRule="auto" w:line="240" w:before="0" w:after="0"/>
        <w:rPr>
          <w:rFonts w:ascii="Tahoma" w:hAnsi="Tahoma" w:cs="Tahoma"/>
          <w:b/>
          <w:b/>
          <w:sz w:val="20"/>
          <w:szCs w:val="20"/>
          <w:lang w:val="sl-SI"/>
        </w:rPr>
      </w:pPr>
      <w:r>
        <w:rPr>
          <w:rFonts w:cs="Tahoma" w:ascii="Tahoma" w:hAnsi="Tahoma"/>
          <w:b/>
          <w:sz w:val="20"/>
          <w:szCs w:val="20"/>
          <w:lang w:val="sl-SI"/>
        </w:rPr>
      </w:r>
    </w:p>
    <w:p>
      <w:pPr>
        <w:pStyle w:val="Normal"/>
        <w:spacing w:lineRule="auto" w:line="240" w:before="0" w:after="0"/>
        <w:rPr>
          <w:rFonts w:ascii="Tahoma" w:hAnsi="Tahoma" w:cs="Tahoma"/>
          <w:b/>
          <w:b/>
          <w:sz w:val="20"/>
          <w:szCs w:val="20"/>
          <w:lang w:val="sl-SI"/>
        </w:rPr>
      </w:pPr>
      <w:r>
        <w:rPr>
          <w:rFonts w:cs="Tahoma" w:ascii="Tahoma" w:hAnsi="Tahoma"/>
          <w:b/>
          <w:sz w:val="20"/>
          <w:szCs w:val="20"/>
          <w:lang w:val="sl-SI"/>
        </w:rPr>
        <w:t>Ad3)</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 xml:space="preserve">Izvajalec mora zagotoviti prisotnost in sodelovanje enega usposobljenega serviserja dvigal, ki razpolaga z ustrezno elektronsko opremo za testiranje, pri izvedbi periodičnega tehničnega pregleda s strani pooblaščene organizacije. </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Stroški prisotnosti morajo biti upoštevani pri mesečnem strošku za redno vzdrževanje. Naročnik obvesti izvajalca o rednem periodičnem pregledu pooblaščene organizacije najmanj 5 delovnih dni pred datumom pregleda.</w:t>
      </w:r>
    </w:p>
    <w:p>
      <w:pPr>
        <w:pStyle w:val="Normal"/>
        <w:spacing w:lineRule="auto" w:line="240" w:before="0" w:after="0"/>
        <w:rPr>
          <w:rFonts w:ascii="Tahoma" w:hAnsi="Tahoma" w:cs="Tahoma"/>
          <w:b/>
          <w:b/>
          <w:sz w:val="20"/>
          <w:szCs w:val="20"/>
          <w:lang w:val="sl-SI"/>
        </w:rPr>
      </w:pPr>
      <w:r>
        <w:rPr>
          <w:rFonts w:cs="Tahoma" w:ascii="Tahoma" w:hAnsi="Tahoma"/>
          <w:b/>
          <w:sz w:val="20"/>
          <w:szCs w:val="20"/>
          <w:lang w:val="sl-SI"/>
        </w:rPr>
      </w:r>
    </w:p>
    <w:p>
      <w:pPr>
        <w:pStyle w:val="Normal"/>
        <w:suppressAutoHyphens w:val="true"/>
        <w:spacing w:lineRule="auto" w:line="240" w:before="0" w:after="0"/>
        <w:rPr>
          <w:rFonts w:ascii="Tahoma" w:hAnsi="Tahoma" w:eastAsia="HG Mincho Light J" w:cs="Tahoma"/>
          <w:b/>
          <w:b/>
          <w:bCs/>
          <w:sz w:val="20"/>
          <w:szCs w:val="20"/>
          <w:lang w:val="sl-SI" w:eastAsia="sl-SI"/>
        </w:rPr>
      </w:pPr>
      <w:r>
        <w:rPr>
          <w:rFonts w:eastAsia="HG Mincho Light J" w:cs="Tahoma" w:ascii="Tahoma" w:hAnsi="Tahoma"/>
          <w:b/>
          <w:bCs/>
          <w:sz w:val="20"/>
          <w:szCs w:val="20"/>
          <w:lang w:val="sl-SI" w:eastAsia="sl-SI"/>
        </w:rPr>
        <w:t>Bistvene zahteve</w:t>
      </w:r>
    </w:p>
    <w:p>
      <w:pPr>
        <w:pStyle w:val="Normal"/>
        <w:suppressAutoHyphens w:val="true"/>
        <w:spacing w:lineRule="auto" w:line="240" w:before="0" w:after="0"/>
        <w:rPr>
          <w:rFonts w:ascii="Tahoma" w:hAnsi="Tahoma" w:eastAsia="HG Mincho Light J" w:cs="Tahoma"/>
          <w:b/>
          <w:b/>
          <w:bCs/>
          <w:sz w:val="20"/>
          <w:szCs w:val="20"/>
          <w:lang w:val="sl-SI" w:eastAsia="sl-SI"/>
        </w:rPr>
      </w:pPr>
      <w:r>
        <w:rPr>
          <w:rFonts w:eastAsia="HG Mincho Light J" w:cs="Tahoma" w:ascii="Tahoma" w:hAnsi="Tahoma"/>
          <w:b/>
          <w:bCs/>
          <w:sz w:val="20"/>
          <w:szCs w:val="20"/>
          <w:lang w:val="sl-SI" w:eastAsia="sl-SI"/>
        </w:rPr>
        <w:t>Vodenje evidence</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Izvajalec mora skrbeti za redno vodenje evidence »Servisna knjiga dvigala« in  ostale dokumentacije za dvigalo, ki mora biti priložena pri vsaki napravi posebej. Za vsak poseg v obliki vzdrževanja in servisiranja dvigala se opravi vpis v knjigo »Servisna knjiga dvigala«. Vpis v knjigo opravi usposobljeni serviser, ki je opravil mesečni pregled posameznega dvigala.</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Izvajalec je dolžan po vsakem delu dostaviti naročniku poročilo o opravljenih storitvah in zamenjanih rezervnih delih.</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r>
    </w:p>
    <w:p>
      <w:pPr>
        <w:pStyle w:val="Normal"/>
        <w:suppressAutoHyphens w:val="true"/>
        <w:spacing w:lineRule="auto" w:line="240" w:before="0" w:after="0"/>
        <w:rPr>
          <w:rFonts w:ascii="Tahoma" w:hAnsi="Tahoma" w:eastAsia="HG Mincho Light J" w:cs="Tahoma"/>
          <w:b/>
          <w:b/>
          <w:bCs/>
          <w:sz w:val="20"/>
          <w:szCs w:val="20"/>
          <w:lang w:val="sl-SI" w:eastAsia="sl-SI"/>
        </w:rPr>
      </w:pPr>
      <w:r>
        <w:rPr>
          <w:rFonts w:eastAsia="HG Mincho Light J" w:cs="Tahoma" w:ascii="Tahoma" w:hAnsi="Tahoma"/>
          <w:b/>
          <w:bCs/>
          <w:sz w:val="20"/>
          <w:szCs w:val="20"/>
          <w:lang w:val="sl-SI" w:eastAsia="sl-SI"/>
        </w:rPr>
        <w:t>Strokovno usposobljen in pooblaščeni kader</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Izvajalec mora za izvajanje vzdrževalnih del določiti strokovno usposobljene serviserje, poleg tega mora zagotavljati kakovost svojih storitev. V primeru morebitnih napak svojih serviserjev je dolžan v najkrajšem možnem času popraviti dvigalo, najkasneje v treh delovnih dneh, napake odpraviti na lastne stroške</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Vsi serviserji morajo imeti opravljen periodični izpit iz varstva pri delu za servisiranje dvigal. Vsa dela mora izvajalec opraviti v skladu z Zakonom o varnosti in zdravju pri delu. Ob uvedbi v delo bo moral izvajalec z naročnikom skladno z Zakonom o varnosti in zdravju pri delu skleniti Pisni sporazum o skupnih ukrepih za zagotavljanje varnosti in zdravja pri delu na skupnem delovišču.</w:t>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V primeru izvajanja požarno nevarnih del, kot npr. brušenje, varjenje, mora izvajalec pred pričetkom opravljanja teh del  od naročnika pridobiti dovoljenje za izvajanje požarno nevarnih del.</w:t>
      </w:r>
    </w:p>
    <w:p>
      <w:pPr>
        <w:pStyle w:val="Normal"/>
        <w:spacing w:lineRule="auto" w:line="240" w:before="0" w:after="0"/>
        <w:rPr>
          <w:rFonts w:ascii="Tahoma" w:hAnsi="Tahoma" w:cs="Tahoma"/>
          <w:b/>
          <w:b/>
          <w:sz w:val="20"/>
          <w:szCs w:val="20"/>
          <w:lang w:val="sl-SI"/>
        </w:rPr>
      </w:pPr>
      <w:r>
        <w:rPr>
          <w:rFonts w:cs="Tahoma" w:ascii="Tahoma" w:hAnsi="Tahoma"/>
          <w:b/>
          <w:sz w:val="20"/>
          <w:szCs w:val="20"/>
          <w:lang w:val="sl-SI"/>
        </w:rPr>
      </w:r>
    </w:p>
    <w:p>
      <w:pPr>
        <w:pStyle w:val="Normal"/>
        <w:suppressAutoHyphens w:val="true"/>
        <w:spacing w:lineRule="auto" w:line="240" w:before="0" w:after="0"/>
        <w:rPr>
          <w:rFonts w:ascii="Tahoma" w:hAnsi="Tahoma" w:eastAsia="HG Mincho Light J" w:cs="Tahoma"/>
          <w:sz w:val="20"/>
          <w:szCs w:val="20"/>
          <w:lang w:val="sl-SI" w:eastAsia="sl-SI"/>
        </w:rPr>
      </w:pPr>
      <w:r>
        <w:rPr>
          <w:rFonts w:eastAsia="HG Mincho Light J" w:cs="Tahoma" w:ascii="Tahoma" w:hAnsi="Tahoma"/>
          <w:sz w:val="20"/>
          <w:szCs w:val="20"/>
          <w:lang w:val="sl-SI" w:eastAsia="sl-SI"/>
        </w:rPr>
        <w:t>Ponudnik mora razpolagati s programirno konzolo za krmilne omare dvigal proizvajalca SEC, tip D, tip E in liftomatik. K ponudbi predloži pisno izjavo.</w:t>
      </w:r>
    </w:p>
    <w:p>
      <w:pPr>
        <w:pStyle w:val="Normal"/>
        <w:keepNext w:val="true"/>
        <w:numPr>
          <w:ilvl w:val="0"/>
          <w:numId w:val="0"/>
        </w:numPr>
        <w:shd w:val="clear" w:color="auto" w:fill="FFFFFF"/>
        <w:spacing w:lineRule="auto" w:line="240" w:before="240" w:after="60"/>
        <w:outlineLvl w:val="1"/>
        <w:rPr>
          <w:rFonts w:ascii="Tahoma" w:hAnsi="Tahoma" w:eastAsia="HG Mincho Light J" w:cs="Tahoma"/>
          <w:sz w:val="20"/>
          <w:szCs w:val="20"/>
          <w:lang w:val="sl-SI" w:eastAsia="sl-SI"/>
        </w:rPr>
      </w:pPr>
      <w:r>
        <w:rPr>
          <w:rFonts w:eastAsia="HG Mincho Light J" w:cs="Tahoma" w:ascii="Tahoma" w:hAnsi="Tahoma"/>
          <w:sz w:val="20"/>
          <w:szCs w:val="20"/>
          <w:lang w:val="sl-SI" w:eastAsia="sl-SI"/>
        </w:rPr>
        <w:t xml:space="preserve">Ponudnik mora naročniku predložiti ponudbeni predračun s specifikacijo cene kot izhaja iz obrazca »predračun«. </w:t>
      </w:r>
    </w:p>
    <w:p>
      <w:pPr>
        <w:pStyle w:val="Normal"/>
        <w:keepNext w:val="true"/>
        <w:numPr>
          <w:ilvl w:val="0"/>
          <w:numId w:val="0"/>
        </w:numPr>
        <w:shd w:val="clear" w:color="auto" w:fill="FFFFFF"/>
        <w:spacing w:lineRule="auto" w:line="240" w:before="240" w:after="60"/>
        <w:outlineLvl w:val="1"/>
        <w:rPr>
          <w:rFonts w:ascii="Tahoma" w:hAnsi="Tahoma" w:eastAsia="HG Mincho Light J" w:cs="Tahoma"/>
          <w:sz w:val="20"/>
          <w:szCs w:val="20"/>
          <w:lang w:val="sl-SI" w:eastAsia="sl-SI"/>
        </w:rPr>
      </w:pPr>
      <w:r>
        <w:rPr>
          <w:rFonts w:eastAsia="HG Mincho Light J" w:cs="Tahoma" w:ascii="Tahoma" w:hAnsi="Tahoma"/>
          <w:sz w:val="20"/>
          <w:szCs w:val="20"/>
          <w:lang w:val="sl-SI" w:eastAsia="sl-SI"/>
        </w:rPr>
        <w:t xml:space="preserve">Ponudnik mora naročniku predložiti cenik rezervnih delov, ki vsebuje navedbo javnega naročila naročnika, zaporedno številko posameznega rezervnega dela oz. storitve, veljavnost cenika, ki mora biti najmanj enaka obdobju javnega naročila naročnika, v katerem mora biti zajet tudi spisek rezervnih delov, ki so navedeni v »predračunu«. </w:t>
      </w:r>
    </w:p>
    <w:p>
      <w:pPr>
        <w:pStyle w:val="Normal"/>
        <w:keepNext w:val="true"/>
        <w:numPr>
          <w:ilvl w:val="0"/>
          <w:numId w:val="0"/>
        </w:numPr>
        <w:shd w:val="clear" w:color="auto" w:fill="FFFFFF"/>
        <w:spacing w:lineRule="auto" w:line="240" w:before="240" w:after="60"/>
        <w:outlineLvl w:val="1"/>
        <w:rPr>
          <w:rFonts w:ascii="Tahoma" w:hAnsi="Tahoma" w:eastAsia="HG Mincho Light J" w:cs="Tahoma"/>
          <w:sz w:val="20"/>
          <w:szCs w:val="20"/>
          <w:lang w:val="sl-SI" w:eastAsia="sl-SI"/>
        </w:rPr>
      </w:pPr>
      <w:r>
        <w:rPr>
          <w:rFonts w:eastAsia="HG Mincho Light J" w:cs="Tahoma" w:ascii="Tahoma" w:hAnsi="Tahoma"/>
          <w:sz w:val="20"/>
          <w:szCs w:val="20"/>
          <w:lang w:val="sl-SI" w:eastAsia="sl-SI"/>
        </w:rPr>
        <w:t xml:space="preserve">- Ponudnik mora zagotoviti odzivni čas 24 ur za  izredna popravila na klic vse dni v letu, vključno s prazniki,  šteto od klica pooblaščene osebe naročnika. K ponudbi predloži pisno izjavo. </w:t>
      </w:r>
    </w:p>
    <w:p>
      <w:pPr>
        <w:pStyle w:val="Normal"/>
        <w:keepNext w:val="true"/>
        <w:numPr>
          <w:ilvl w:val="0"/>
          <w:numId w:val="0"/>
        </w:numPr>
        <w:shd w:val="clear" w:color="auto" w:fill="FFFFFF"/>
        <w:spacing w:lineRule="auto" w:line="240" w:before="240" w:after="60"/>
        <w:outlineLvl w:val="1"/>
        <w:rPr>
          <w:rFonts w:ascii="Tahoma" w:hAnsi="Tahoma" w:eastAsia="HG Mincho Light J" w:cs="Tahoma"/>
          <w:sz w:val="20"/>
          <w:szCs w:val="20"/>
          <w:lang w:val="sl-SI" w:eastAsia="sl-SI"/>
        </w:rPr>
      </w:pPr>
      <w:r>
        <w:rPr>
          <w:rFonts w:eastAsia="HG Mincho Light J" w:cs="Tahoma" w:ascii="Tahoma" w:hAnsi="Tahoma"/>
          <w:sz w:val="20"/>
          <w:szCs w:val="20"/>
          <w:lang w:val="sl-SI" w:eastAsia="sl-SI"/>
        </w:rPr>
        <w:t>- v primeru zamenjave rezervnega dela mora ponudnik zagotoviti najmanj 1-letno garancijo. K ponudbi predloži pisno izjavo.</w:t>
      </w:r>
    </w:p>
    <w:p>
      <w:pPr>
        <w:pStyle w:val="Normal"/>
        <w:keepNext w:val="true"/>
        <w:numPr>
          <w:ilvl w:val="0"/>
          <w:numId w:val="0"/>
        </w:numPr>
        <w:shd w:val="clear" w:color="auto" w:fill="FFFFFF"/>
        <w:spacing w:lineRule="auto" w:line="240" w:before="240" w:after="60"/>
        <w:outlineLvl w:val="1"/>
        <w:rPr>
          <w:rFonts w:ascii="Tahoma" w:hAnsi="Tahoma" w:eastAsia="HG Mincho Light J" w:cs="Tahoma"/>
          <w:sz w:val="20"/>
          <w:szCs w:val="20"/>
          <w:lang w:val="sl-SI" w:eastAsia="sl-SI"/>
        </w:rPr>
      </w:pPr>
      <w:r>
        <w:rPr>
          <w:rFonts w:eastAsia="HG Mincho Light J" w:cs="Tahoma" w:ascii="Tahoma" w:hAnsi="Tahoma"/>
          <w:sz w:val="20"/>
          <w:szCs w:val="20"/>
          <w:lang w:val="sl-SI" w:eastAsia="sl-SI"/>
        </w:rPr>
        <w:t xml:space="preserve">- ponudnik mora naročniku predložiti seznam serviserjev dvigal.  Osebe morajo biti polnoletne; vsaj en serviser dvigal, zaposlen pri ponudniku, mora imeti srednjo izobrazbo elektrotehniške smeri; na priloženem seznamu navesti  ime pooblaščenega serviserja za naročnikova dvigala.-v primeru zamenjave rezervnega dela mora ponudnik zagotoviti najmanj 2-letno garancijo. </w:t>
      </w:r>
    </w:p>
    <w:p>
      <w:pPr>
        <w:pStyle w:val="Normal"/>
        <w:keepNext w:val="true"/>
        <w:numPr>
          <w:ilvl w:val="0"/>
          <w:numId w:val="0"/>
        </w:numPr>
        <w:shd w:val="clear" w:color="auto" w:fill="FFFFFF"/>
        <w:spacing w:lineRule="auto" w:line="240" w:before="240" w:after="60"/>
        <w:outlineLvl w:val="1"/>
        <w:rPr>
          <w:rFonts w:ascii="Tahoma" w:hAnsi="Tahoma" w:eastAsia="HG Mincho Light J" w:cs="Tahoma"/>
          <w:sz w:val="20"/>
          <w:szCs w:val="20"/>
          <w:lang w:val="sl-SI" w:eastAsia="sl-SI"/>
        </w:rPr>
      </w:pPr>
      <w:r>
        <w:rPr>
          <w:rFonts w:eastAsia="HG Mincho Light J" w:cs="Tahoma" w:ascii="Tahoma" w:hAnsi="Tahoma"/>
          <w:sz w:val="20"/>
          <w:szCs w:val="20"/>
          <w:lang w:val="sl-SI" w:eastAsia="sl-SI"/>
        </w:rPr>
        <w:t>REFERENCA:</w:t>
      </w:r>
    </w:p>
    <w:p>
      <w:pPr>
        <w:pStyle w:val="Normal"/>
        <w:keepNext w:val="true"/>
        <w:numPr>
          <w:ilvl w:val="0"/>
          <w:numId w:val="0"/>
        </w:numPr>
        <w:shd w:val="clear" w:color="auto" w:fill="FFFFFF"/>
        <w:spacing w:lineRule="auto" w:line="240" w:before="240" w:after="60"/>
        <w:outlineLvl w:val="1"/>
        <w:rPr>
          <w:rFonts w:ascii="Tahoma" w:hAnsi="Tahoma" w:eastAsia="HG Mincho Light J" w:cs="Tahoma"/>
          <w:sz w:val="20"/>
          <w:szCs w:val="20"/>
          <w:lang w:val="sl-SI" w:eastAsia="sl-SI"/>
        </w:rPr>
      </w:pPr>
      <w:r>
        <w:rPr>
          <w:rFonts w:eastAsia="HG Mincho Light J" w:cs="Tahoma" w:ascii="Tahoma" w:hAnsi="Tahoma"/>
          <w:sz w:val="20"/>
          <w:szCs w:val="20"/>
          <w:lang w:val="sl-SI" w:eastAsia="sl-SI"/>
        </w:rPr>
        <w:t xml:space="preserve">Najmanj ena referenca, ki  za opravljene storitve v zadnjih treh letih,  da ima  ponudnik sklenjeno pogodbo/naročilo najmanj za vzdrževanje in servisiranje dvigal </w:t>
      </w:r>
    </w:p>
    <w:p>
      <w:pPr>
        <w:pStyle w:val="Normal"/>
        <w:keepNext w:val="true"/>
        <w:numPr>
          <w:ilvl w:val="0"/>
          <w:numId w:val="0"/>
        </w:numPr>
        <w:shd w:val="clear" w:color="auto" w:fill="FFFFFF"/>
        <w:spacing w:lineRule="auto" w:line="240" w:before="240" w:after="60"/>
        <w:outlineLvl w:val="1"/>
        <w:rPr>
          <w:rFonts w:ascii="Tahoma" w:hAnsi="Tahoma" w:eastAsia="HG Mincho Light J" w:cs="Tahoma"/>
          <w:sz w:val="20"/>
          <w:szCs w:val="20"/>
          <w:lang w:val="sl-SI" w:eastAsia="sl-SI"/>
        </w:rPr>
      </w:pPr>
      <w:r>
        <w:rPr>
          <w:rFonts w:eastAsia="HG Mincho Light J" w:cs="Tahoma" w:ascii="Tahoma" w:hAnsi="Tahoma"/>
          <w:sz w:val="20"/>
          <w:szCs w:val="20"/>
          <w:lang w:val="sl-SI" w:eastAsia="sl-SI"/>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ahoma">
    <w:charset w:val="ee"/>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l-S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0db0"/>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Naslov">
    <w:name w:val="Naslov"/>
    <w:basedOn w:val="Normal"/>
    <w:next w:val="Telobesedila"/>
    <w:qFormat/>
    <w:pPr>
      <w:keepNext w:val="true"/>
      <w:spacing w:before="240" w:after="120"/>
    </w:pPr>
    <w:rPr>
      <w:rFonts w:ascii="Liberation Sans" w:hAnsi="Liberation Sans" w:eastAsia="Microsoft YaHei" w:cs="Arial"/>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Arial"/>
    </w:rPr>
  </w:style>
  <w:style w:type="paragraph" w:styleId="Napis">
    <w:name w:val="Caption"/>
    <w:basedOn w:val="Normal"/>
    <w:qFormat/>
    <w:pPr>
      <w:suppressLineNumbers/>
      <w:spacing w:before="120" w:after="120"/>
    </w:pPr>
    <w:rPr>
      <w:rFonts w:cs="Arial"/>
      <w:i/>
      <w:iCs/>
      <w:sz w:val="24"/>
      <w:szCs w:val="24"/>
    </w:rPr>
  </w:style>
  <w:style w:type="paragraph" w:styleId="Kazalo">
    <w:name w:val="Kazalo"/>
    <w:basedOn w:val="Normal"/>
    <w:qFormat/>
    <w:pPr>
      <w:suppressLineNumbers/>
    </w:pPr>
    <w:rPr>
      <w:rFonts w:cs="Arial"/>
    </w:rPr>
  </w:style>
  <w:style w:type="numbering" w:styleId="NoList" w:default="1">
    <w:name w:val="No List"/>
    <w:uiPriority w:val="99"/>
    <w:semiHidden/>
    <w:unhideWhenUsed/>
    <w:qFormat/>
  </w:style>
  <w:style w:type="table" w:default="1" w:styleId="Navadnatabe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LibreOffice/7.1.4.2$Windows_X86_64 LibreOffice_project/a529a4fab45b75fefc5b6226684193eb000654f6</Application>
  <AppVersion>15.0000</AppVersion>
  <Pages>3</Pages>
  <Words>1244</Words>
  <Characters>7711</Characters>
  <CharactersWithSpaces>8908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2022-01-31T10:57:00Z</dcterms:created>
  <dc:creator>robert.bizjak@bolnisnica-go.si</dc:creator>
  <dc:description/>
  <dc:language>sl-SI</dc:language>
  <cp:lastModifiedBy/>
  <dcterms:modified xsi:type="dcterms:W3CDTF">2022-02-24T09:14:13Z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