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center"/>
        <w:rPr>
          <w:rFonts w:ascii="Verdana" w:hAnsi="Verdana" w:eastAsia="Calibri" w:cs="Times New Roman"/>
          <w:b/>
          <w:b/>
          <w:sz w:val="20"/>
          <w:szCs w:val="28"/>
        </w:rPr>
      </w:pPr>
      <w:r>
        <w:rPr>
          <w:rFonts w:eastAsia="Calibri" w:cs="Times New Roman" w:ascii="Verdana" w:hAnsi="Verdana"/>
          <w:b/>
          <w:sz w:val="20"/>
          <w:szCs w:val="28"/>
        </w:rPr>
        <w:t>PREDRAČUN</w:t>
      </w:r>
    </w:p>
    <w:p>
      <w:pPr>
        <w:pStyle w:val="Normal"/>
        <w:spacing w:lineRule="auto" w:line="276" w:before="0" w:after="200"/>
        <w:jc w:val="left"/>
        <w:rPr/>
      </w:pPr>
      <w:r>
        <w:rPr>
          <w:rFonts w:eastAsia="Calibri" w:cs="Times New Roman" w:ascii="Verdana" w:hAnsi="Verdana"/>
          <w:b/>
          <w:sz w:val="20"/>
          <w:szCs w:val="28"/>
        </w:rPr>
        <w:t>Predmet evidenčnega naročila je vzdrževanje opreme Getinge kot sledi;</w:t>
      </w:r>
    </w:p>
    <w:p>
      <w:pPr>
        <w:pStyle w:val="Normal"/>
        <w:keepLines/>
        <w:widowControl w:val="false"/>
        <w:spacing w:lineRule="auto" w:line="240" w:before="0" w:after="120"/>
        <w:ind w:left="720" w:right="0" w:hanging="0"/>
        <w:jc w:val="both"/>
        <w:rPr/>
      </w:pPr>
      <w:r>
        <w:rPr>
          <w:rFonts w:eastAsia="Calibri" w:cs="Times New Roman" w:ascii="Verdana" w:hAnsi="Verdana"/>
          <w:b/>
          <w:bCs/>
          <w:sz w:val="20"/>
          <w:szCs w:val="20"/>
          <w:lang w:val="sl-SI"/>
        </w:rPr>
        <w:t>1. AVTOKLAV GETINGE; HS 4406 EM-2</w:t>
      </w:r>
      <w:r>
        <w:rPr>
          <w:rFonts w:eastAsia="Calibri" w:cs="Times New Roman" w:ascii="Verdana" w:hAnsi="Verdana"/>
          <w:sz w:val="20"/>
          <w:szCs w:val="20"/>
          <w:lang w:val="sl-SI"/>
        </w:rPr>
        <w:t>; SN 2508244-010-01; leto izdelave 2007; lokacija COB</w:t>
      </w:r>
    </w:p>
    <w:p>
      <w:pPr>
        <w:pStyle w:val="Normal"/>
        <w:keepLines/>
        <w:widowControl w:val="false"/>
        <w:spacing w:lineRule="auto" w:line="240" w:before="0" w:after="120"/>
        <w:ind w:left="720" w:right="0" w:hanging="0"/>
        <w:jc w:val="both"/>
        <w:rPr/>
      </w:pPr>
      <w:r>
        <w:rPr>
          <w:rFonts w:ascii="Verdana" w:hAnsi="Verdana"/>
          <w:b/>
          <w:bCs/>
          <w:sz w:val="20"/>
          <w:szCs w:val="20"/>
          <w:lang w:val="sl-SI"/>
        </w:rPr>
        <w:t>2. AVTOKLAV GETINGE; GE 2406 EM-2</w:t>
      </w:r>
      <w:r>
        <w:rPr>
          <w:rFonts w:ascii="Verdana" w:hAnsi="Verdana"/>
          <w:sz w:val="20"/>
          <w:szCs w:val="20"/>
          <w:lang w:val="sl-SI"/>
        </w:rPr>
        <w:t>; SN 2500638-010-01; leto izdelave 2003; lokacija COB</w:t>
      </w:r>
    </w:p>
    <w:p>
      <w:pPr>
        <w:pStyle w:val="Normal"/>
        <w:keepLines/>
        <w:widowControl w:val="false"/>
        <w:spacing w:lineRule="auto" w:line="240" w:before="0" w:after="120"/>
        <w:ind w:left="720" w:right="0" w:hanging="0"/>
        <w:jc w:val="both"/>
        <w:rPr/>
      </w:pPr>
      <w:r>
        <w:rPr>
          <w:rFonts w:ascii="Verdana" w:hAnsi="Verdana"/>
          <w:b/>
          <w:bCs/>
          <w:sz w:val="20"/>
          <w:szCs w:val="20"/>
          <w:lang w:val="sl-SI"/>
        </w:rPr>
        <w:t>3. TERMODEZINFEKTOR GETINGE 4656</w:t>
      </w:r>
      <w:r>
        <w:rPr>
          <w:rFonts w:ascii="Verdana" w:hAnsi="Verdana"/>
          <w:sz w:val="20"/>
          <w:szCs w:val="20"/>
          <w:lang w:val="sl-SI"/>
        </w:rPr>
        <w:t>; SN SEV 0250087 301;  lokacija COB</w:t>
      </w:r>
    </w:p>
    <w:p>
      <w:pPr>
        <w:pStyle w:val="Normal"/>
        <w:keepLines/>
        <w:widowControl w:val="false"/>
        <w:spacing w:lineRule="auto" w:line="240" w:before="0" w:after="120"/>
        <w:ind w:left="720" w:right="0" w:hanging="0"/>
        <w:jc w:val="both"/>
        <w:rPr/>
      </w:pPr>
      <w:r>
        <w:rPr>
          <w:rFonts w:ascii="Verdana" w:hAnsi="Verdana"/>
          <w:b/>
          <w:bCs/>
          <w:sz w:val="20"/>
          <w:szCs w:val="20"/>
          <w:lang w:val="sl-SI"/>
        </w:rPr>
        <w:t>4. BLATEKS NINJO; SP 1200</w:t>
      </w:r>
      <w:r>
        <w:rPr>
          <w:rFonts w:ascii="Verdana" w:hAnsi="Verdana"/>
          <w:sz w:val="20"/>
          <w:szCs w:val="20"/>
          <w:lang w:val="sl-SI"/>
        </w:rPr>
        <w:t xml:space="preserve">; SEV 0538044; lokacija OIMR P2 Stara Gora </w:t>
      </w:r>
    </w:p>
    <w:p>
      <w:pPr>
        <w:pStyle w:val="Normal"/>
        <w:keepLines/>
        <w:widowControl w:val="false"/>
        <w:spacing w:lineRule="auto" w:line="240" w:before="0" w:after="120"/>
        <w:ind w:left="720" w:right="0" w:hanging="0"/>
        <w:jc w:val="both"/>
        <w:rPr/>
      </w:pPr>
      <w:r>
        <w:rPr>
          <w:rFonts w:ascii="Verdana" w:hAnsi="Verdana"/>
          <w:b/>
          <w:bCs/>
          <w:sz w:val="20"/>
          <w:szCs w:val="20"/>
          <w:lang w:val="sl-SI"/>
        </w:rPr>
        <w:t>5. BLATEKS GETINGE S-406</w:t>
      </w:r>
      <w:r>
        <w:rPr>
          <w:rFonts w:ascii="Verdana" w:hAnsi="Verdana"/>
          <w:sz w:val="20"/>
          <w:szCs w:val="20"/>
          <w:lang w:val="sl-SI"/>
        </w:rPr>
        <w:t xml:space="preserve">; lokacija 3B Stara stavba bolnišnice </w:t>
      </w:r>
    </w:p>
    <w:p>
      <w:pPr>
        <w:pStyle w:val="Normal"/>
        <w:keepLines/>
        <w:widowControl w:val="false"/>
        <w:spacing w:lineRule="auto" w:line="240" w:before="0" w:after="120"/>
        <w:ind w:left="720" w:right="0" w:hanging="0"/>
        <w:jc w:val="both"/>
        <w:rPr/>
      </w:pPr>
      <w:r>
        <w:rPr>
          <w:rFonts w:ascii="Verdana" w:hAnsi="Verdana"/>
          <w:b/>
          <w:bCs/>
          <w:sz w:val="20"/>
          <w:szCs w:val="20"/>
          <w:lang w:val="sl-SI"/>
        </w:rPr>
        <w:t>6. BLATEKS GETINGE FD1600</w:t>
      </w:r>
      <w:r>
        <w:rPr>
          <w:rFonts w:ascii="Verdana" w:hAnsi="Verdana"/>
          <w:sz w:val="20"/>
          <w:szCs w:val="20"/>
          <w:lang w:val="sl-SI"/>
        </w:rPr>
        <w:t xml:space="preserve">; lokacija OIMR P1 Stara Gora </w:t>
      </w:r>
    </w:p>
    <w:p>
      <w:pPr>
        <w:pStyle w:val="Normal"/>
        <w:spacing w:lineRule="auto" w:line="276" w:before="0" w:after="200"/>
        <w:rPr/>
      </w:pPr>
      <w:r>
        <w:rPr>
          <w:rFonts w:ascii="Verdana" w:hAnsi="Verdana"/>
          <w:b/>
          <w:bCs/>
          <w:sz w:val="20"/>
          <w:szCs w:val="20"/>
          <w:lang w:val="sl-SI"/>
        </w:rPr>
        <w:tab/>
        <w:t>7. BLATEKS GETINGE VAXJO ROSTFRITT AB S-406</w:t>
      </w:r>
      <w:r>
        <w:rPr>
          <w:rFonts w:ascii="Verdana" w:hAnsi="Verdana"/>
          <w:sz w:val="20"/>
          <w:szCs w:val="20"/>
          <w:lang w:val="sl-SI"/>
        </w:rPr>
        <w:t xml:space="preserve">; SN 202017 9503; </w:t>
        <w:tab/>
        <w:t>lokacija 2B Stara stavba bolnišnice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 w:cs="Times New Roman" w:ascii="Verdana" w:hAnsi="Verdana"/>
          <w:sz w:val="20"/>
          <w:szCs w:val="28"/>
        </w:rPr>
        <w:t>Ponudnik pripravi ponudbeni predračun, v katerem navede ponudbene cene v EUR  po specifikacijah navedenih v nadaljevanju in okvirne ponudbene vrednosti ter skupno okvirno ponudbeno vrednost razpisanih storitev za obdobje štirih let.</w:t>
      </w:r>
    </w:p>
    <w:tbl>
      <w:tblPr>
        <w:tblStyle w:val="Tabelamre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2429"/>
        <w:gridCol w:w="1398"/>
        <w:gridCol w:w="1134"/>
        <w:gridCol w:w="1284"/>
        <w:gridCol w:w="1234"/>
        <w:gridCol w:w="991"/>
      </w:tblGrid>
      <w:tr>
        <w:trPr/>
        <w:tc>
          <w:tcPr>
            <w:tcW w:w="817" w:type="dxa"/>
            <w:tcBorders/>
            <w:shd w:fill="BBE33D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Zap.št.</w:t>
            </w:r>
          </w:p>
        </w:tc>
        <w:tc>
          <w:tcPr>
            <w:tcW w:w="2429" w:type="dxa"/>
            <w:tcBorders/>
            <w:shd w:fill="BBE33D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Opis</w:t>
            </w:r>
          </w:p>
        </w:tc>
        <w:tc>
          <w:tcPr>
            <w:tcW w:w="1398" w:type="dxa"/>
            <w:tcBorders/>
            <w:shd w:fill="BBE33D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Cena na Enoto mere izražena v EUR brez DDV</w:t>
            </w:r>
          </w:p>
        </w:tc>
        <w:tc>
          <w:tcPr>
            <w:tcW w:w="1134" w:type="dxa"/>
            <w:tcBorders/>
            <w:shd w:fill="BBE33D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Letni strošek Izražen v EUR brez DDV</w:t>
            </w:r>
          </w:p>
        </w:tc>
        <w:tc>
          <w:tcPr>
            <w:tcW w:w="1284" w:type="dxa"/>
            <w:tcBorders/>
            <w:shd w:fill="BBE33D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Letni strošek izražen v EUR z DDV</w:t>
            </w:r>
          </w:p>
        </w:tc>
        <w:tc>
          <w:tcPr>
            <w:tcW w:w="1234" w:type="dxa"/>
            <w:tcBorders/>
            <w:shd w:fill="BBE33D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Štiri (4) letni strošek izražen v EUR brez DDV</w:t>
            </w:r>
          </w:p>
        </w:tc>
        <w:tc>
          <w:tcPr>
            <w:tcW w:w="991" w:type="dxa"/>
            <w:tcBorders/>
            <w:shd w:fill="BBE33D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Štiri (4) letni strošek izražen V EUR z DDV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1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11-ih popravil/letno opreme po seznamu z obračunanimi štirimi delovnimi urami izvedenimi v rednem delovnem času med 7:00 in 15:00 uro (=11x4 ure)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(ura)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2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Cena dveh nujnih (urgentnih) popravil/letno z obračunanimi štirimi nujnimi (urgentnimi) delovnimi urami (=2x4 ure)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(ura)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3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Ceno potovalnih ur/leto in prevozne stroške na relaciji naročnik/izvajalec (=13x predvideno število potovalnih ur)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(potovalna ura z vključenimi potovalnimi stroški)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4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Kilometrina na relaciji naročnik/izvajalec (=13x predcideno število km na relaciji)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(kilometrina)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kern w:val="0"/>
                <w:sz w:val="18"/>
                <w:szCs w:val="28"/>
                <w:lang w:val="sl-SI" w:eastAsia="en-US" w:bidi="ar-SA"/>
              </w:rPr>
              <w:t>SKUPAJ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1134" w:type="dxa"/>
            <w:tcBorders/>
            <w:shd w:fill="BBE33D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1284" w:type="dxa"/>
            <w:tcBorders/>
            <w:shd w:fill="BBE33D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1234" w:type="dxa"/>
            <w:tcBorders/>
            <w:shd w:fill="BBE33D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  <w:tc>
          <w:tcPr>
            <w:tcW w:w="991" w:type="dxa"/>
            <w:tcBorders/>
            <w:shd w:fill="BBE33D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ahoma" w:hAnsi="Tahoma" w:eastAsia="Calibri" w:cs="Tahoma"/>
                <w:sz w:val="18"/>
                <w:szCs w:val="28"/>
              </w:rPr>
            </w:pPr>
            <w:r>
              <w:rPr>
                <w:rFonts w:eastAsia="Calibri" w:cs="Tahoma" w:ascii="Tahoma" w:hAnsi="Tahoma"/>
                <w:sz w:val="22"/>
                <w:szCs w:val="28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Verdana" w:hAnsi="Verdana" w:eastAsia="Calibri" w:cs="Times New Roman"/>
          <w:sz w:val="20"/>
          <w:szCs w:val="28"/>
        </w:rPr>
      </w:pPr>
      <w:r>
        <w:rPr>
          <w:rFonts w:eastAsia="Calibri" w:cs="Times New Roman" w:ascii="Verdana" w:hAnsi="Verdana"/>
          <w:sz w:val="20"/>
          <w:szCs w:val="28"/>
        </w:rPr>
      </w:r>
    </w:p>
    <w:tbl>
      <w:tblPr>
        <w:tblpPr w:bottomFromText="0" w:horzAnchor="margin" w:leftFromText="180" w:rightFromText="180" w:tblpX="0" w:tblpY="266" w:topFromText="0" w:vertAnchor="text"/>
        <w:tblW w:w="953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95"/>
        <w:gridCol w:w="3060"/>
        <w:gridCol w:w="2877"/>
      </w:tblGrid>
      <w:tr>
        <w:trPr/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sz w:val="18"/>
                <w:szCs w:val="18"/>
              </w:rPr>
            </w:pPr>
            <w:r>
              <w:rPr>
                <w:rFonts w:eastAsia="Calibri" w:cs="Tahoma" w:ascii="Tahoma" w:hAnsi="Tahoma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eastAsia="Calibri" w:cs="Tahoma" w:ascii="Tahoma" w:hAnsi="Tahoma"/>
              </w:rPr>
              <w:instrText xml:space="preserve"> FORMTEXT </w:instrText>
            </w:r>
            <w:r>
              <w:rPr>
                <w:rFonts w:eastAsia="Calibri" w:cs="Tahoma"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eastAsia="Calibri" w:cs="Tahoma" w:ascii="Tahoma" w:hAnsi="Tahoma"/>
              </w:rPr>
              <w:fldChar w:fldCharType="separate"/>
            </w:r>
            <w:r>
              <w:rPr>
                <w:rFonts w:eastAsia="Calibri" w:cs="Tahoma" w:ascii="Tahoma" w:hAnsi="Tahoma"/>
                <w:sz w:val="18"/>
                <w:szCs w:val="18"/>
              </w:rPr>
              <w:t>     </w:t>
            </w:r>
            <w:r>
              <w:rPr>
                <w:rFonts w:eastAsia="Calibri" w:cs="Tahoma"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eastAsia="Calibri" w:cs="Tahoma" w:ascii="Tahoma" w:hAnsi="Tahoma"/>
              </w:rPr>
              <w:fldChar w:fldCharType="end"/>
            </w:r>
            <w:r>
              <w:rPr>
                <w:rFonts w:eastAsia="Calibri" w:cs="Tahoma" w:ascii="Tahoma" w:hAnsi="Tahoma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eastAsia="Calibri" w:cs="Tahoma" w:ascii="Tahoma" w:hAnsi="Tahoma"/>
              </w:rPr>
              <w:instrText xml:space="preserve"> FORMTEXT </w:instrText>
            </w:r>
            <w:r>
              <w:rPr>
                <w:rFonts w:eastAsia="Calibri" w:cs="Tahoma"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eastAsia="Calibri" w:cs="Tahoma" w:ascii="Tahoma" w:hAnsi="Tahoma"/>
              </w:rPr>
              <w:fldChar w:fldCharType="separate"/>
            </w:r>
            <w:r>
              <w:rPr>
                <w:rFonts w:eastAsia="Calibri" w:cs="Tahoma" w:ascii="Tahoma" w:hAnsi="Tahoma"/>
                <w:sz w:val="18"/>
                <w:szCs w:val="18"/>
              </w:rPr>
              <w:t>     </w:t>
            </w:r>
            <w:r>
              <w:rPr>
                <w:rFonts w:eastAsia="Calibri" w:cs="Tahoma"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eastAsia="Calibri" w:cs="Tahoma" w:ascii="Tahoma" w:hAnsi="Tahoma"/>
              </w:rPr>
              <w:fldChar w:fldCharType="end"/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fill="BBE33D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Zastopnik/prokurist (ime in priimek)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fill="BBE33D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fill="BBE33D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Žig</w:t>
            </w:r>
          </w:p>
        </w:tc>
      </w:tr>
      <w:tr>
        <w:trPr>
          <w:trHeight w:val="655" w:hRule="atLeast"/>
        </w:trPr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eastAsia="Calibri" w:cs="Tahoma" w:ascii="Tahoma" w:hAnsi="Tahoma"/>
                <w:b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45bad"/>
    <w:rPr>
      <w:sz w:val="16"/>
      <w:szCs w:val="16"/>
    </w:rPr>
  </w:style>
  <w:style w:type="character" w:styleId="PripombabesediloZnak" w:customStyle="1">
    <w:name w:val="Pripomba – besedilo Znak"/>
    <w:basedOn w:val="DefaultParagraphFont"/>
    <w:uiPriority w:val="99"/>
    <w:semiHidden/>
    <w:qFormat/>
    <w:rsid w:val="00645bad"/>
    <w:rPr>
      <w:rFonts w:ascii="Calibri" w:hAnsi="Calibri" w:eastAsia="Calibri" w:cs="Times New Roman"/>
      <w:sz w:val="20"/>
      <w:szCs w:val="20"/>
      <w:lang w:val="en-US"/>
    </w:rPr>
  </w:style>
  <w:style w:type="character" w:styleId="BesedilooblakaZnak" w:customStyle="1">
    <w:name w:val="Besedilo oblačka Znak"/>
    <w:basedOn w:val="DefaultParagraphFont"/>
    <w:uiPriority w:val="99"/>
    <w:semiHidden/>
    <w:qFormat/>
    <w:rsid w:val="00645bad"/>
    <w:rPr>
      <w:rFonts w:ascii="Segoe UI" w:hAnsi="Segoe UI" w:cs="Segoe UI"/>
      <w:sz w:val="18"/>
      <w:szCs w:val="18"/>
    </w:rPr>
  </w:style>
  <w:style w:type="character" w:styleId="ZadevapripombeZnak" w:customStyle="1">
    <w:name w:val="Zadeva pripombe Znak"/>
    <w:basedOn w:val="PripombabesediloZnak"/>
    <w:uiPriority w:val="99"/>
    <w:semiHidden/>
    <w:qFormat/>
    <w:rsid w:val="00d41aa0"/>
    <w:rPr>
      <w:rFonts w:ascii="Calibri" w:hAnsi="Calibri" w:eastAsia="Calibri" w:cs="Times New Roman"/>
      <w:b/>
      <w:bCs/>
      <w:sz w:val="20"/>
      <w:szCs w:val="20"/>
      <w:lang w:val="en-US"/>
    </w:rPr>
  </w:style>
  <w:style w:type="character" w:styleId="NogaZnak">
    <w:name w:val="Noga Znak"/>
    <w:qFormat/>
    <w:rPr>
      <w:sz w:val="22"/>
      <w:szCs w:val="22"/>
    </w:rPr>
  </w:style>
  <w:style w:type="character" w:styleId="GlavaZnak">
    <w:name w:val="Glava Znak"/>
    <w:qFormat/>
    <w:rPr>
      <w:sz w:val="22"/>
      <w:szCs w:val="22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PripombabesediloZnak"/>
    <w:uiPriority w:val="99"/>
    <w:semiHidden/>
    <w:unhideWhenUsed/>
    <w:qFormat/>
    <w:rsid w:val="00645bad"/>
    <w:pPr>
      <w:spacing w:lineRule="auto" w:line="240" w:before="0" w:after="200"/>
    </w:pPr>
    <w:rPr>
      <w:rFonts w:ascii="Calibri" w:hAnsi="Calibri" w:eastAsia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645b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ZadevapripombeZnak"/>
    <w:uiPriority w:val="99"/>
    <w:semiHidden/>
    <w:unhideWhenUsed/>
    <w:qFormat/>
    <w:rsid w:val="00d41aa0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sl-SI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LibreOffice/7.3.2.2$Windows_X86_64 LibreOffice_project/49f2b1bff42cfccbd8f788c8dc32c1c309559be0</Application>
  <AppVersion>15.0000</AppVersion>
  <Pages>2</Pages>
  <Words>248</Words>
  <Characters>1415</Characters>
  <CharactersWithSpaces>1652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dc:description/>
  <dc:language>sl-SI</dc:language>
  <cp:lastModifiedBy/>
  <dcterms:modified xsi:type="dcterms:W3CDTF">2022-08-26T14:33:07Z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