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6BDC" w14:textId="546FB433" w:rsidR="00C314F6" w:rsidRPr="00000A1D" w:rsidRDefault="00C314F6" w:rsidP="00C314F6">
      <w:pPr>
        <w:pStyle w:val="Naslov1"/>
        <w:rPr>
          <w:caps/>
        </w:rPr>
      </w:pPr>
      <w:r w:rsidRPr="00000A1D">
        <w:rPr>
          <w:caps/>
        </w:rPr>
        <w:t>Povpraševanje za</w:t>
      </w:r>
      <w:r w:rsidR="00E40150">
        <w:rPr>
          <w:caps/>
        </w:rPr>
        <w:t xml:space="preserve"> OPERATERSKE</w:t>
      </w:r>
      <w:r w:rsidRPr="00000A1D">
        <w:rPr>
          <w:caps/>
        </w:rPr>
        <w:t xml:space="preserve"> storit</w:t>
      </w:r>
      <w:r w:rsidR="00401F21">
        <w:rPr>
          <w:caps/>
        </w:rPr>
        <w:t>e</w:t>
      </w:r>
      <w:r w:rsidRPr="00000A1D">
        <w:rPr>
          <w:caps/>
        </w:rPr>
        <w:t>v fiksne telefonije v SB Nova Gorica</w:t>
      </w:r>
      <w:r w:rsidR="004949D9">
        <w:rPr>
          <w:caps/>
        </w:rPr>
        <w:t xml:space="preserve"> za obdobje </w:t>
      </w:r>
      <w:r w:rsidR="00100857">
        <w:rPr>
          <w:caps/>
        </w:rPr>
        <w:t>3</w:t>
      </w:r>
      <w:r w:rsidR="00A749E1">
        <w:rPr>
          <w:caps/>
        </w:rPr>
        <w:t>-H</w:t>
      </w:r>
      <w:r w:rsidR="004949D9">
        <w:rPr>
          <w:caps/>
        </w:rPr>
        <w:t xml:space="preserve"> let</w:t>
      </w:r>
    </w:p>
    <w:p w14:paraId="2DA22A10" w14:textId="417F8DA5" w:rsidR="00C314F6" w:rsidRDefault="00C314F6" w:rsidP="00C314F6">
      <w:r>
        <w:t>Povpraševanje se izvaja za obdobje 3-h (t</w:t>
      </w:r>
      <w:r w:rsidR="00401F21">
        <w:t>reh</w:t>
      </w:r>
      <w:r>
        <w:t xml:space="preserve">) let </w:t>
      </w:r>
      <w:r w:rsidR="00401F21">
        <w:t xml:space="preserve">in se začne izvajati </w:t>
      </w:r>
      <w:r w:rsidR="00000A1D">
        <w:t xml:space="preserve">dne </w:t>
      </w:r>
      <w:r>
        <w:t>1.7.2023.</w:t>
      </w:r>
      <w:r w:rsidR="00000A1D">
        <w:t xml:space="preserve"> Izbrani ponudnik mora do takrat urediti ustrezen prenos</w:t>
      </w:r>
      <w:r w:rsidR="00CB4E9C">
        <w:t xml:space="preserve"> telefonskih</w:t>
      </w:r>
      <w:r w:rsidR="00000A1D">
        <w:t xml:space="preserve"> številk in povezljivost na obeh lokacijah kot opredeljeno v Tehničnih zahtevah v nadaljevanju. Dne 30.6.2023 mora storitev fiksne telefonije še vedno pravilno delovati pri obstoječem ponudniku.</w:t>
      </w:r>
    </w:p>
    <w:p w14:paraId="60F648B1" w14:textId="2C18B2D3" w:rsidR="00CB4E9C" w:rsidRDefault="00CB4E9C" w:rsidP="00C314F6">
      <w:r>
        <w:t>Obstoječe telefonske številke (skupaj 392) bo naročnik posredoval izbranemu ponudniku za prenos.</w:t>
      </w:r>
    </w:p>
    <w:p w14:paraId="168191BA" w14:textId="580D1E49" w:rsidR="00000A1D" w:rsidRDefault="00C314F6" w:rsidP="00327A8A">
      <w:r>
        <w:t xml:space="preserve">Potencialni ponudniki si lahko obe lokaciji ogledajo ob predhodnem dogovoru z naročnikom. </w:t>
      </w:r>
      <w:r w:rsidR="00000A1D">
        <w:t xml:space="preserve">Rok za ogled lokacije </w:t>
      </w:r>
      <w:r w:rsidR="00000A1D" w:rsidRPr="00327A8A">
        <w:t xml:space="preserve">do </w:t>
      </w:r>
      <w:r w:rsidR="00416F72">
        <w:t>2</w:t>
      </w:r>
      <w:r w:rsidR="00BA451C" w:rsidRPr="00327A8A">
        <w:t>4.4.2023</w:t>
      </w:r>
      <w:r w:rsidR="00000A1D">
        <w:t xml:space="preserve"> po predhodnem dogovoru s kontaktom na strani naročnika:</w:t>
      </w:r>
    </w:p>
    <w:p w14:paraId="31A88EBA" w14:textId="078DD37D" w:rsidR="00000A1D" w:rsidRDefault="00000A1D" w:rsidP="00000A1D">
      <w:pPr>
        <w:pStyle w:val="Odstavekseznama"/>
        <w:numPr>
          <w:ilvl w:val="0"/>
          <w:numId w:val="24"/>
        </w:numPr>
      </w:pPr>
      <w:r>
        <w:t>Armin Makovec</w:t>
      </w:r>
    </w:p>
    <w:p w14:paraId="66F7040D" w14:textId="29CC170F" w:rsidR="00000A1D" w:rsidRDefault="00000A1D" w:rsidP="00000A1D">
      <w:pPr>
        <w:pStyle w:val="Odstavekseznama"/>
        <w:numPr>
          <w:ilvl w:val="0"/>
          <w:numId w:val="24"/>
        </w:numPr>
      </w:pPr>
      <w:r>
        <w:t>Telefon: 031 730 912</w:t>
      </w:r>
    </w:p>
    <w:p w14:paraId="11E74653" w14:textId="512F1E1E" w:rsidR="00000A1D" w:rsidRDefault="00000A1D" w:rsidP="00000A1D">
      <w:pPr>
        <w:pStyle w:val="Odstavekseznama"/>
        <w:numPr>
          <w:ilvl w:val="0"/>
          <w:numId w:val="24"/>
        </w:numPr>
      </w:pPr>
      <w:r>
        <w:t xml:space="preserve">E-pošta: </w:t>
      </w:r>
      <w:hyperlink r:id="rId11" w:history="1">
        <w:r w:rsidRPr="008035AA">
          <w:rPr>
            <w:rStyle w:val="Hiperpovezava"/>
          </w:rPr>
          <w:t>armin.makovec@bolnisnica-go.si</w:t>
        </w:r>
      </w:hyperlink>
      <w:r>
        <w:t xml:space="preserve"> </w:t>
      </w:r>
    </w:p>
    <w:p w14:paraId="673A59C6" w14:textId="0076FF57" w:rsidR="00C314F6" w:rsidRPr="00BA451C" w:rsidRDefault="00C314F6" w:rsidP="00C314F6">
      <w:pPr>
        <w:rPr>
          <w:b/>
          <w:bCs/>
        </w:rPr>
      </w:pPr>
      <w:r w:rsidRPr="00BA451C">
        <w:rPr>
          <w:b/>
          <w:bCs/>
        </w:rPr>
        <w:t xml:space="preserve">Rok za oddajo ponudb: </w:t>
      </w:r>
      <w:r w:rsidR="00416F72">
        <w:rPr>
          <w:b/>
          <w:bCs/>
        </w:rPr>
        <w:t>9</w:t>
      </w:r>
      <w:r w:rsidR="00BA451C" w:rsidRPr="00BA451C">
        <w:rPr>
          <w:b/>
          <w:bCs/>
        </w:rPr>
        <w:t>.</w:t>
      </w:r>
      <w:r w:rsidR="00416F72">
        <w:rPr>
          <w:b/>
          <w:bCs/>
        </w:rPr>
        <w:t>5</w:t>
      </w:r>
      <w:r w:rsidRPr="00BA451C">
        <w:rPr>
          <w:b/>
          <w:bCs/>
        </w:rPr>
        <w:t>.2023 do 13:00</w:t>
      </w:r>
    </w:p>
    <w:p w14:paraId="5812891E" w14:textId="77777777" w:rsidR="00100857" w:rsidRDefault="00100857" w:rsidP="00100857">
      <w:r>
        <w:t>Preklop na storitev fiksne telefonije po ponudbi bo opravljen z dnem 1.7.2023.</w:t>
      </w:r>
    </w:p>
    <w:p w14:paraId="27F27FFD" w14:textId="27BF3D2A" w:rsidR="00533BC0" w:rsidRDefault="004E0C5E" w:rsidP="00DC74E2">
      <w:pPr>
        <w:pStyle w:val="Naslov1"/>
      </w:pPr>
      <w:r w:rsidRPr="00FC30BB">
        <w:t>TEHNIČNE ZAHTEVE</w:t>
      </w:r>
    </w:p>
    <w:p w14:paraId="2B8668A1" w14:textId="6CA69700" w:rsidR="00C828A5" w:rsidRPr="00DC74E2" w:rsidRDefault="00C828A5" w:rsidP="00401F21">
      <w:pPr>
        <w:pStyle w:val="Naslov2"/>
      </w:pPr>
      <w:r w:rsidRPr="00DC74E2">
        <w:t xml:space="preserve">Splošno o stanju omrežja </w:t>
      </w:r>
      <w:r w:rsidRPr="00401F21">
        <w:t>naročnika</w:t>
      </w:r>
    </w:p>
    <w:p w14:paraId="5B7CF788" w14:textId="64310215" w:rsidR="004D3192" w:rsidRDefault="00C828A5" w:rsidP="00882497">
      <w:r w:rsidRPr="001C3B70">
        <w:t xml:space="preserve">Naročnik ima na lokaciji </w:t>
      </w:r>
      <w:r w:rsidR="001C3B70" w:rsidRPr="001C3B70">
        <w:t>ULICA PADLIH BORCEV 13 A, 5290 ŠEMPETER PRI GORICI</w:t>
      </w:r>
      <w:r w:rsidRPr="001C3B70">
        <w:t xml:space="preserve">, obstoječe fiksno telefonijo izvedeno z </w:t>
      </w:r>
      <w:r w:rsidR="001C3B70" w:rsidRPr="001C3B70">
        <w:t>d</w:t>
      </w:r>
      <w:r w:rsidRPr="001C3B70">
        <w:t xml:space="preserve">igitalno/IP PBX telefonsko centralo </w:t>
      </w:r>
      <w:r w:rsidR="004D3192" w:rsidRPr="004D3192">
        <w:t>(Mitel MiVoice MX-ONE).</w:t>
      </w:r>
    </w:p>
    <w:p w14:paraId="74279FDB" w14:textId="0A4FC9D6" w:rsidR="00C828A5" w:rsidRPr="001C3B70" w:rsidRDefault="00C828A5" w:rsidP="00882497">
      <w:r w:rsidRPr="001C3B70">
        <w:t>Podatkovne povezave naro</w:t>
      </w:r>
      <w:r w:rsidR="007F770D" w:rsidRPr="001C3B70">
        <w:t>č</w:t>
      </w:r>
      <w:r w:rsidRPr="001C3B70">
        <w:t xml:space="preserve">nika, so </w:t>
      </w:r>
      <w:r w:rsidR="007F770D" w:rsidRPr="001C3B70">
        <w:t>obstoječe</w:t>
      </w:r>
      <w:r w:rsidRPr="001C3B70">
        <w:t xml:space="preserve"> implementirane</w:t>
      </w:r>
      <w:r w:rsidR="007F770D" w:rsidRPr="001C3B70">
        <w:t xml:space="preserve"> preko optičnih dostopov. Med lokacijama naročnika ima naročnik zakupljeno optično povezavo (</w:t>
      </w:r>
      <w:r w:rsidR="00000A1D">
        <w:t xml:space="preserve">ang. </w:t>
      </w:r>
      <w:r w:rsidR="007F770D" w:rsidRPr="00000A1D">
        <w:rPr>
          <w:i/>
          <w:iCs/>
        </w:rPr>
        <w:t>dark fiber</w:t>
      </w:r>
      <w:r w:rsidR="007F770D" w:rsidRPr="001C3B70">
        <w:t xml:space="preserve">) z nadomestno povezavo preko </w:t>
      </w:r>
      <w:r w:rsidR="00000A1D">
        <w:t xml:space="preserve">lastnega </w:t>
      </w:r>
      <w:r w:rsidR="007F770D" w:rsidRPr="001C3B70">
        <w:t>radijskega linka</w:t>
      </w:r>
      <w:r w:rsidR="00000A1D">
        <w:t xml:space="preserve"> čez Mark</w:t>
      </w:r>
      <w:r w:rsidR="007F770D" w:rsidRPr="001C3B70">
        <w:t>. Naročnik pričakuje, da bodo optične povezave</w:t>
      </w:r>
      <w:r w:rsidR="00CB4E9C">
        <w:t xml:space="preserve"> in radijski link</w:t>
      </w:r>
      <w:r w:rsidR="007F770D" w:rsidRPr="001C3B70">
        <w:t xml:space="preserve"> uporabljene tudi za povezljivosti in zagotavljanje storitev iz naslova povpraševanja.  </w:t>
      </w:r>
    </w:p>
    <w:p w14:paraId="1F701CA2" w14:textId="75483FBE" w:rsidR="00F24058" w:rsidRPr="001C3B70" w:rsidRDefault="007F770D" w:rsidP="00882497">
      <w:r w:rsidRPr="001C3B70">
        <w:t xml:space="preserve">Javne fiksne številke naročnika </w:t>
      </w:r>
      <w:r w:rsidR="004D3192">
        <w:t>ne pripadajo celotnemu bloku. Naročnik namerava ohraniti številski prostor, zato ga je potrebno prenesti.</w:t>
      </w:r>
    </w:p>
    <w:p w14:paraId="49E6AF3D" w14:textId="7EBB8713" w:rsidR="000F48BE" w:rsidRPr="001C3B70" w:rsidRDefault="000F48BE" w:rsidP="00882497">
      <w:r w:rsidRPr="001C3B70">
        <w:t>Ponudnik mora po ponudbi zagotoviti infrastrukturo, vključitev storitev,</w:t>
      </w:r>
      <w:r w:rsidR="00AB422C" w:rsidRPr="001C3B70">
        <w:t xml:space="preserve"> prenos številk s </w:t>
      </w:r>
      <w:r w:rsidRPr="001C3B70">
        <w:t>testiranje</w:t>
      </w:r>
      <w:r w:rsidR="00AB422C" w:rsidRPr="001C3B70">
        <w:t>m</w:t>
      </w:r>
      <w:r w:rsidRPr="001C3B70">
        <w:t xml:space="preserve"> in vzdrž</w:t>
      </w:r>
      <w:r w:rsidR="00EF3F9A">
        <w:t xml:space="preserve">evanjem. V ponudbi se opredeli tudi vse mesečne stroške glede na podane količine in tehnične zahteve. </w:t>
      </w:r>
      <w:r w:rsidRPr="001C3B70">
        <w:t>Naročnik dodatnih stroškov ne bo potr</w:t>
      </w:r>
      <w:r w:rsidR="00EF3F9A">
        <w:t>jeval.</w:t>
      </w:r>
    </w:p>
    <w:p w14:paraId="647EB29D" w14:textId="589792C7" w:rsidR="00C828A5" w:rsidRPr="00DC74E2" w:rsidRDefault="000F48BE" w:rsidP="00882497">
      <w:pPr>
        <w:pStyle w:val="Naslov3"/>
      </w:pPr>
      <w:r w:rsidRPr="00DC74E2">
        <w:t>Ocenjena mesečna količina prometa naročnika</w:t>
      </w:r>
    </w:p>
    <w:p w14:paraId="01A6A1F5" w14:textId="2B5E9C95" w:rsidR="000F48BE" w:rsidRDefault="000F48BE" w:rsidP="00882497">
      <w:r>
        <w:t>Naročnik je na podlagi</w:t>
      </w:r>
      <w:r>
        <w:rPr>
          <w:spacing w:val="40"/>
        </w:rPr>
        <w:t xml:space="preserve"> </w:t>
      </w:r>
      <w:r>
        <w:t>mesečnih analiz telefonskih pogovorov preko hišnih telefonskih central ocenil minute pogovorov v omrežju operaterjev v Republiki Sloveniji</w:t>
      </w:r>
      <w:r w:rsidR="00000A1D">
        <w:t>:</w:t>
      </w:r>
    </w:p>
    <w:tbl>
      <w:tblPr>
        <w:tblStyle w:val="TableNormal1"/>
        <w:tblW w:w="0" w:type="auto"/>
        <w:tblInd w:w="8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3"/>
        <w:gridCol w:w="4973"/>
        <w:gridCol w:w="2328"/>
      </w:tblGrid>
      <w:tr w:rsidR="000F48BE" w14:paraId="77F4141D" w14:textId="77777777" w:rsidTr="00A713F8">
        <w:trPr>
          <w:trHeight w:val="419"/>
        </w:trPr>
        <w:tc>
          <w:tcPr>
            <w:tcW w:w="583" w:type="dxa"/>
          </w:tcPr>
          <w:p w14:paraId="6C2A4ADE" w14:textId="77777777" w:rsidR="000F48BE" w:rsidRDefault="000F48BE" w:rsidP="004D3192">
            <w:pPr>
              <w:pStyle w:val="TableParagraph"/>
              <w:spacing w:line="202" w:lineRule="exact"/>
              <w:jc w:val="center"/>
              <w:rPr>
                <w:b/>
                <w:sz w:val="18"/>
              </w:rPr>
            </w:pPr>
            <w:bookmarkStart w:id="0" w:name="_Hlk122679757"/>
            <w:r>
              <w:rPr>
                <w:b/>
                <w:spacing w:val="-4"/>
                <w:sz w:val="18"/>
              </w:rPr>
              <w:t>Zap.</w:t>
            </w:r>
          </w:p>
          <w:p w14:paraId="2D871731" w14:textId="77777777" w:rsidR="000F48BE" w:rsidRDefault="000F48BE" w:rsidP="004D3192">
            <w:pPr>
              <w:pStyle w:val="TableParagraph"/>
              <w:spacing w:line="198" w:lineRule="exact"/>
              <w:jc w:val="center"/>
              <w:rPr>
                <w:b/>
                <w:bCs/>
                <w:sz w:val="18"/>
                <w:szCs w:val="18"/>
              </w:rPr>
            </w:pPr>
            <w:r>
              <w:rPr>
                <w:b/>
                <w:bCs/>
                <w:spacing w:val="-5"/>
                <w:sz w:val="18"/>
                <w:szCs w:val="18"/>
              </w:rPr>
              <w:t>št.</w:t>
            </w:r>
          </w:p>
        </w:tc>
        <w:tc>
          <w:tcPr>
            <w:tcW w:w="4973" w:type="dxa"/>
          </w:tcPr>
          <w:p w14:paraId="13D04CA2" w14:textId="4C8DD277" w:rsidR="000F48BE" w:rsidRPr="00DC74E2" w:rsidRDefault="000F48BE" w:rsidP="004D3192">
            <w:pPr>
              <w:pStyle w:val="TableParagraph"/>
              <w:spacing w:line="202" w:lineRule="exact"/>
              <w:rPr>
                <w:b/>
                <w:sz w:val="18"/>
              </w:rPr>
            </w:pPr>
            <w:r w:rsidRPr="00DC74E2">
              <w:rPr>
                <w:b/>
                <w:sz w:val="18"/>
              </w:rPr>
              <w:t>Govorni</w:t>
            </w:r>
            <w:r w:rsidRPr="00DC74E2">
              <w:rPr>
                <w:b/>
                <w:spacing w:val="-3"/>
                <w:sz w:val="18"/>
              </w:rPr>
              <w:t xml:space="preserve"> </w:t>
            </w:r>
            <w:r w:rsidRPr="00DC74E2">
              <w:rPr>
                <w:b/>
                <w:sz w:val="18"/>
              </w:rPr>
              <w:t>promet</w:t>
            </w:r>
            <w:r w:rsidRPr="00DC74E2">
              <w:rPr>
                <w:b/>
                <w:spacing w:val="-4"/>
                <w:sz w:val="18"/>
              </w:rPr>
              <w:t xml:space="preserve"> </w:t>
            </w:r>
            <w:r w:rsidRPr="00DC74E2">
              <w:rPr>
                <w:b/>
                <w:sz w:val="18"/>
              </w:rPr>
              <w:t>za</w:t>
            </w:r>
            <w:r w:rsidRPr="00DC74E2">
              <w:rPr>
                <w:b/>
                <w:spacing w:val="-3"/>
                <w:sz w:val="18"/>
              </w:rPr>
              <w:t xml:space="preserve"> </w:t>
            </w:r>
            <w:r w:rsidRPr="00DC74E2">
              <w:rPr>
                <w:b/>
                <w:sz w:val="18"/>
              </w:rPr>
              <w:t>klice</w:t>
            </w:r>
          </w:p>
        </w:tc>
        <w:tc>
          <w:tcPr>
            <w:tcW w:w="2328" w:type="dxa"/>
          </w:tcPr>
          <w:p w14:paraId="3918A743" w14:textId="5542D309" w:rsidR="000F48BE" w:rsidRPr="00DC74E2" w:rsidRDefault="000F48BE" w:rsidP="004D3192">
            <w:pPr>
              <w:pStyle w:val="TableParagraph"/>
              <w:spacing w:line="202" w:lineRule="exact"/>
              <w:jc w:val="center"/>
              <w:rPr>
                <w:b/>
                <w:sz w:val="18"/>
                <w:lang w:val="it-IT"/>
              </w:rPr>
            </w:pPr>
            <w:r w:rsidRPr="00DC74E2">
              <w:rPr>
                <w:b/>
                <w:sz w:val="18"/>
                <w:lang w:val="it-IT"/>
              </w:rPr>
              <w:t>Okvirna</w:t>
            </w:r>
            <w:r w:rsidRPr="00DC74E2">
              <w:rPr>
                <w:b/>
                <w:spacing w:val="-3"/>
                <w:sz w:val="18"/>
                <w:lang w:val="it-IT"/>
              </w:rPr>
              <w:t xml:space="preserve"> </w:t>
            </w:r>
            <w:r w:rsidRPr="00DC74E2">
              <w:rPr>
                <w:b/>
                <w:sz w:val="18"/>
                <w:lang w:val="it-IT"/>
              </w:rPr>
              <w:t>koli</w:t>
            </w:r>
            <w:r w:rsidRPr="00DC74E2">
              <w:rPr>
                <w:b/>
                <w:spacing w:val="35"/>
                <w:sz w:val="18"/>
                <w:lang w:val="it-IT"/>
              </w:rPr>
              <w:t>č</w:t>
            </w:r>
            <w:r w:rsidRPr="00DC74E2">
              <w:rPr>
                <w:b/>
                <w:sz w:val="18"/>
                <w:lang w:val="it-IT"/>
              </w:rPr>
              <w:t>ina</w:t>
            </w:r>
            <w:r w:rsidRPr="00DC74E2">
              <w:rPr>
                <w:b/>
                <w:spacing w:val="-2"/>
                <w:sz w:val="18"/>
                <w:lang w:val="it-IT"/>
              </w:rPr>
              <w:t xml:space="preserve"> </w:t>
            </w:r>
            <w:r w:rsidRPr="00DC74E2">
              <w:rPr>
                <w:b/>
                <w:spacing w:val="-10"/>
                <w:sz w:val="18"/>
                <w:lang w:val="it-IT"/>
              </w:rPr>
              <w:t>v</w:t>
            </w:r>
          </w:p>
          <w:p w14:paraId="01D588F7" w14:textId="40FE50DE" w:rsidR="000F48BE" w:rsidRPr="00DC74E2" w:rsidRDefault="000F48BE" w:rsidP="004D3192">
            <w:pPr>
              <w:pStyle w:val="TableParagraph"/>
              <w:spacing w:line="198" w:lineRule="exact"/>
              <w:rPr>
                <w:b/>
                <w:bCs/>
                <w:sz w:val="18"/>
                <w:szCs w:val="18"/>
                <w:lang w:val="it-IT"/>
              </w:rPr>
            </w:pPr>
            <w:r w:rsidRPr="00DC74E2">
              <w:rPr>
                <w:b/>
                <w:bCs/>
                <w:sz w:val="18"/>
                <w:szCs w:val="18"/>
                <w:lang w:val="it-IT"/>
              </w:rPr>
              <w:t>minutah</w:t>
            </w:r>
            <w:r w:rsidRPr="00DC74E2">
              <w:rPr>
                <w:b/>
                <w:bCs/>
                <w:spacing w:val="-12"/>
                <w:sz w:val="18"/>
                <w:szCs w:val="18"/>
                <w:lang w:val="it-IT"/>
              </w:rPr>
              <w:t xml:space="preserve"> </w:t>
            </w:r>
            <w:r w:rsidRPr="00DC74E2">
              <w:rPr>
                <w:b/>
                <w:bCs/>
                <w:sz w:val="18"/>
                <w:szCs w:val="18"/>
                <w:lang w:val="it-IT"/>
              </w:rPr>
              <w:t>za</w:t>
            </w:r>
            <w:r w:rsidRPr="00DC74E2">
              <w:rPr>
                <w:b/>
                <w:bCs/>
                <w:spacing w:val="-10"/>
                <w:sz w:val="18"/>
                <w:szCs w:val="18"/>
                <w:lang w:val="it-IT"/>
              </w:rPr>
              <w:t xml:space="preserve"> </w:t>
            </w:r>
            <w:r w:rsidR="004D3192" w:rsidRPr="00DC74E2">
              <w:rPr>
                <w:b/>
                <w:bCs/>
                <w:sz w:val="18"/>
                <w:szCs w:val="18"/>
                <w:lang w:val="it-IT"/>
              </w:rPr>
              <w:t>tri</w:t>
            </w:r>
            <w:r w:rsidRPr="00DC74E2">
              <w:rPr>
                <w:b/>
                <w:bCs/>
                <w:spacing w:val="-11"/>
                <w:sz w:val="18"/>
                <w:szCs w:val="18"/>
                <w:lang w:val="it-IT"/>
              </w:rPr>
              <w:t xml:space="preserve"> </w:t>
            </w:r>
            <w:r w:rsidRPr="00DC74E2">
              <w:rPr>
                <w:b/>
                <w:bCs/>
                <w:spacing w:val="-4"/>
                <w:sz w:val="18"/>
                <w:szCs w:val="18"/>
                <w:lang w:val="it-IT"/>
              </w:rPr>
              <w:t>leta</w:t>
            </w:r>
          </w:p>
        </w:tc>
      </w:tr>
      <w:tr w:rsidR="000F48BE" w14:paraId="180AFFAF" w14:textId="77777777" w:rsidTr="00A713F8">
        <w:trPr>
          <w:trHeight w:val="268"/>
        </w:trPr>
        <w:tc>
          <w:tcPr>
            <w:tcW w:w="583" w:type="dxa"/>
          </w:tcPr>
          <w:p w14:paraId="69B49911" w14:textId="6BC5DA19" w:rsidR="000F48BE" w:rsidRDefault="000F48BE" w:rsidP="004D3192">
            <w:pPr>
              <w:pStyle w:val="TableParagraph"/>
              <w:jc w:val="center"/>
              <w:rPr>
                <w:sz w:val="18"/>
              </w:rPr>
            </w:pPr>
            <w:r>
              <w:rPr>
                <w:spacing w:val="-5"/>
                <w:sz w:val="18"/>
              </w:rPr>
              <w:t>1</w:t>
            </w:r>
          </w:p>
        </w:tc>
        <w:tc>
          <w:tcPr>
            <w:tcW w:w="4973" w:type="dxa"/>
          </w:tcPr>
          <w:p w14:paraId="50610DBF" w14:textId="04DAC415" w:rsidR="000F48BE" w:rsidRPr="00DC74E2" w:rsidRDefault="000F48BE" w:rsidP="004D3192">
            <w:pPr>
              <w:pStyle w:val="TableParagraph"/>
              <w:rPr>
                <w:sz w:val="18"/>
                <w:szCs w:val="18"/>
                <w:lang w:val="it-IT"/>
              </w:rPr>
            </w:pPr>
            <w:r w:rsidRPr="00DC74E2">
              <w:rPr>
                <w:sz w:val="18"/>
                <w:szCs w:val="18"/>
                <w:lang w:val="it-IT"/>
              </w:rPr>
              <w:t>Telekom</w:t>
            </w:r>
            <w:r w:rsidRPr="00DC74E2">
              <w:rPr>
                <w:spacing w:val="-1"/>
                <w:sz w:val="18"/>
                <w:szCs w:val="18"/>
                <w:lang w:val="it-IT"/>
              </w:rPr>
              <w:t xml:space="preserve"> </w:t>
            </w:r>
            <w:r w:rsidRPr="00DC74E2">
              <w:rPr>
                <w:sz w:val="18"/>
                <w:szCs w:val="18"/>
                <w:lang w:val="it-IT"/>
              </w:rPr>
              <w:t>Slovenije</w:t>
            </w:r>
            <w:r w:rsidRPr="00DC74E2">
              <w:rPr>
                <w:spacing w:val="-3"/>
                <w:sz w:val="18"/>
                <w:szCs w:val="18"/>
                <w:lang w:val="it-IT"/>
              </w:rPr>
              <w:t xml:space="preserve"> </w:t>
            </w:r>
            <w:r w:rsidRPr="00DC74E2">
              <w:rPr>
                <w:sz w:val="18"/>
                <w:szCs w:val="18"/>
                <w:lang w:val="it-IT"/>
              </w:rPr>
              <w:t>v</w:t>
            </w:r>
            <w:r w:rsidRPr="00DC74E2">
              <w:rPr>
                <w:spacing w:val="-2"/>
                <w:sz w:val="18"/>
                <w:szCs w:val="18"/>
                <w:lang w:val="it-IT"/>
              </w:rPr>
              <w:t xml:space="preserve"> </w:t>
            </w:r>
            <w:r w:rsidRPr="00DC74E2">
              <w:rPr>
                <w:sz w:val="18"/>
                <w:szCs w:val="18"/>
                <w:lang w:val="it-IT"/>
              </w:rPr>
              <w:t>fiksno</w:t>
            </w:r>
            <w:r w:rsidRPr="00DC74E2">
              <w:rPr>
                <w:spacing w:val="-3"/>
                <w:sz w:val="18"/>
                <w:szCs w:val="18"/>
                <w:lang w:val="it-IT"/>
              </w:rPr>
              <w:t xml:space="preserve"> </w:t>
            </w:r>
            <w:r w:rsidRPr="00DC74E2">
              <w:rPr>
                <w:sz w:val="18"/>
                <w:szCs w:val="18"/>
                <w:lang w:val="it-IT"/>
              </w:rPr>
              <w:t>in</w:t>
            </w:r>
            <w:r w:rsidRPr="00DC74E2">
              <w:rPr>
                <w:spacing w:val="-3"/>
                <w:sz w:val="18"/>
                <w:szCs w:val="18"/>
                <w:lang w:val="it-IT"/>
              </w:rPr>
              <w:t xml:space="preserve"> </w:t>
            </w:r>
            <w:r w:rsidRPr="00DC74E2">
              <w:rPr>
                <w:sz w:val="18"/>
                <w:szCs w:val="18"/>
                <w:lang w:val="it-IT"/>
              </w:rPr>
              <w:t>IP</w:t>
            </w:r>
            <w:r w:rsidRPr="00DC74E2">
              <w:rPr>
                <w:spacing w:val="-3"/>
                <w:sz w:val="18"/>
                <w:szCs w:val="18"/>
                <w:lang w:val="it-IT"/>
              </w:rPr>
              <w:t xml:space="preserve"> </w:t>
            </w:r>
            <w:r w:rsidRPr="00DC74E2">
              <w:rPr>
                <w:spacing w:val="-2"/>
                <w:sz w:val="18"/>
                <w:szCs w:val="18"/>
                <w:lang w:val="it-IT"/>
              </w:rPr>
              <w:t>omrežje</w:t>
            </w:r>
          </w:p>
        </w:tc>
        <w:tc>
          <w:tcPr>
            <w:tcW w:w="2328" w:type="dxa"/>
          </w:tcPr>
          <w:p w14:paraId="365939CB" w14:textId="4E786768" w:rsidR="000F48BE" w:rsidRPr="00DC74E2" w:rsidRDefault="004D3192" w:rsidP="004D3192">
            <w:pPr>
              <w:pStyle w:val="TableParagraph"/>
              <w:jc w:val="center"/>
              <w:rPr>
                <w:sz w:val="18"/>
              </w:rPr>
            </w:pPr>
            <w:r w:rsidRPr="00DC74E2">
              <w:rPr>
                <w:spacing w:val="-2"/>
                <w:sz w:val="18"/>
              </w:rPr>
              <w:t>200.</w:t>
            </w:r>
            <w:r w:rsidR="000F48BE" w:rsidRPr="00DC74E2">
              <w:rPr>
                <w:spacing w:val="-2"/>
                <w:sz w:val="18"/>
              </w:rPr>
              <w:t>000</w:t>
            </w:r>
          </w:p>
        </w:tc>
      </w:tr>
      <w:tr w:rsidR="000F48BE" w14:paraId="1C995220" w14:textId="77777777" w:rsidTr="00A713F8">
        <w:trPr>
          <w:trHeight w:val="270"/>
        </w:trPr>
        <w:tc>
          <w:tcPr>
            <w:tcW w:w="583" w:type="dxa"/>
          </w:tcPr>
          <w:p w14:paraId="78FF955E" w14:textId="204CD6D6" w:rsidR="000F48BE" w:rsidRDefault="000F48BE" w:rsidP="004D3192">
            <w:pPr>
              <w:pStyle w:val="TableParagraph"/>
              <w:jc w:val="center"/>
              <w:rPr>
                <w:sz w:val="18"/>
              </w:rPr>
            </w:pPr>
            <w:r>
              <w:rPr>
                <w:spacing w:val="-5"/>
                <w:sz w:val="18"/>
              </w:rPr>
              <w:t>2</w:t>
            </w:r>
          </w:p>
        </w:tc>
        <w:tc>
          <w:tcPr>
            <w:tcW w:w="4973" w:type="dxa"/>
          </w:tcPr>
          <w:p w14:paraId="00122B37" w14:textId="125814F1" w:rsidR="000F48BE" w:rsidRPr="00DC74E2" w:rsidRDefault="000F48BE" w:rsidP="004D3192">
            <w:pPr>
              <w:pStyle w:val="TableParagraph"/>
              <w:rPr>
                <w:sz w:val="18"/>
                <w:szCs w:val="18"/>
                <w:lang w:val="it-IT"/>
              </w:rPr>
            </w:pPr>
            <w:r w:rsidRPr="00DC74E2">
              <w:rPr>
                <w:sz w:val="18"/>
                <w:szCs w:val="18"/>
                <w:lang w:val="it-IT"/>
              </w:rPr>
              <w:t>A1</w:t>
            </w:r>
            <w:r w:rsidRPr="00DC74E2">
              <w:rPr>
                <w:spacing w:val="52"/>
                <w:sz w:val="18"/>
                <w:szCs w:val="18"/>
                <w:lang w:val="it-IT"/>
              </w:rPr>
              <w:t xml:space="preserve"> </w:t>
            </w:r>
            <w:r w:rsidRPr="00DC74E2">
              <w:rPr>
                <w:sz w:val="18"/>
                <w:szCs w:val="18"/>
                <w:lang w:val="it-IT"/>
              </w:rPr>
              <w:t>v</w:t>
            </w:r>
            <w:r w:rsidRPr="00DC74E2">
              <w:rPr>
                <w:spacing w:val="1"/>
                <w:sz w:val="18"/>
                <w:szCs w:val="18"/>
                <w:lang w:val="it-IT"/>
              </w:rPr>
              <w:t xml:space="preserve"> </w:t>
            </w:r>
            <w:r w:rsidRPr="00DC74E2">
              <w:rPr>
                <w:sz w:val="18"/>
                <w:szCs w:val="18"/>
                <w:lang w:val="it-IT"/>
              </w:rPr>
              <w:t>fiksno</w:t>
            </w:r>
            <w:r w:rsidRPr="00DC74E2">
              <w:rPr>
                <w:spacing w:val="-4"/>
                <w:sz w:val="18"/>
                <w:szCs w:val="18"/>
                <w:lang w:val="it-IT"/>
              </w:rPr>
              <w:t xml:space="preserve"> </w:t>
            </w:r>
            <w:r w:rsidRPr="00DC74E2">
              <w:rPr>
                <w:sz w:val="18"/>
                <w:szCs w:val="18"/>
                <w:lang w:val="it-IT"/>
              </w:rPr>
              <w:t>in</w:t>
            </w:r>
            <w:r w:rsidRPr="00DC74E2">
              <w:rPr>
                <w:spacing w:val="-2"/>
                <w:sz w:val="18"/>
                <w:szCs w:val="18"/>
                <w:lang w:val="it-IT"/>
              </w:rPr>
              <w:t xml:space="preserve"> </w:t>
            </w:r>
            <w:r w:rsidRPr="00DC74E2">
              <w:rPr>
                <w:sz w:val="18"/>
                <w:szCs w:val="18"/>
                <w:lang w:val="it-IT"/>
              </w:rPr>
              <w:t xml:space="preserve">IP </w:t>
            </w:r>
            <w:r w:rsidRPr="00DC74E2">
              <w:rPr>
                <w:spacing w:val="-2"/>
                <w:sz w:val="18"/>
                <w:szCs w:val="18"/>
                <w:lang w:val="it-IT"/>
              </w:rPr>
              <w:t>omrežje</w:t>
            </w:r>
          </w:p>
        </w:tc>
        <w:tc>
          <w:tcPr>
            <w:tcW w:w="2328" w:type="dxa"/>
          </w:tcPr>
          <w:p w14:paraId="54109E64" w14:textId="7E0396DC" w:rsidR="000F48BE" w:rsidRPr="00DC74E2" w:rsidRDefault="004D3192" w:rsidP="004D3192">
            <w:pPr>
              <w:pStyle w:val="TableParagraph"/>
              <w:jc w:val="center"/>
              <w:rPr>
                <w:sz w:val="18"/>
              </w:rPr>
            </w:pPr>
            <w:r w:rsidRPr="00DC74E2">
              <w:rPr>
                <w:spacing w:val="-2"/>
                <w:sz w:val="18"/>
              </w:rPr>
              <w:t>38</w:t>
            </w:r>
            <w:r w:rsidR="000F48BE" w:rsidRPr="00DC74E2">
              <w:rPr>
                <w:spacing w:val="-2"/>
                <w:sz w:val="18"/>
              </w:rPr>
              <w:t>.000</w:t>
            </w:r>
          </w:p>
        </w:tc>
      </w:tr>
      <w:tr w:rsidR="000F48BE" w14:paraId="31DB3ED3" w14:textId="77777777" w:rsidTr="00A713F8">
        <w:trPr>
          <w:trHeight w:val="268"/>
        </w:trPr>
        <w:tc>
          <w:tcPr>
            <w:tcW w:w="583" w:type="dxa"/>
          </w:tcPr>
          <w:p w14:paraId="40F0570A" w14:textId="3EDA9CFE" w:rsidR="000F48BE" w:rsidRDefault="000F48BE" w:rsidP="004D3192">
            <w:pPr>
              <w:pStyle w:val="TableParagraph"/>
              <w:jc w:val="center"/>
              <w:rPr>
                <w:sz w:val="18"/>
              </w:rPr>
            </w:pPr>
            <w:r>
              <w:rPr>
                <w:spacing w:val="-5"/>
                <w:sz w:val="18"/>
              </w:rPr>
              <w:t>3</w:t>
            </w:r>
          </w:p>
        </w:tc>
        <w:tc>
          <w:tcPr>
            <w:tcW w:w="4973" w:type="dxa"/>
          </w:tcPr>
          <w:p w14:paraId="5F47E410" w14:textId="0D4A90F1" w:rsidR="000F48BE" w:rsidRPr="00DC74E2" w:rsidRDefault="000F48BE" w:rsidP="004D3192">
            <w:pPr>
              <w:pStyle w:val="TableParagraph"/>
              <w:rPr>
                <w:sz w:val="18"/>
                <w:szCs w:val="18"/>
              </w:rPr>
            </w:pPr>
            <w:r w:rsidRPr="00DC74E2">
              <w:rPr>
                <w:sz w:val="18"/>
                <w:szCs w:val="18"/>
              </w:rPr>
              <w:t>T2</w:t>
            </w:r>
            <w:r w:rsidRPr="00DC74E2">
              <w:rPr>
                <w:spacing w:val="-3"/>
                <w:sz w:val="18"/>
                <w:szCs w:val="18"/>
              </w:rPr>
              <w:t xml:space="preserve"> </w:t>
            </w:r>
            <w:r w:rsidRPr="00DC74E2">
              <w:rPr>
                <w:sz w:val="18"/>
                <w:szCs w:val="18"/>
              </w:rPr>
              <w:t>v</w:t>
            </w:r>
            <w:r w:rsidRPr="00DC74E2">
              <w:rPr>
                <w:spacing w:val="-2"/>
                <w:sz w:val="18"/>
                <w:szCs w:val="18"/>
              </w:rPr>
              <w:t xml:space="preserve"> </w:t>
            </w:r>
            <w:r w:rsidRPr="00DC74E2">
              <w:rPr>
                <w:sz w:val="18"/>
                <w:szCs w:val="18"/>
              </w:rPr>
              <w:t>fiksno</w:t>
            </w:r>
            <w:r w:rsidRPr="00DC74E2">
              <w:rPr>
                <w:spacing w:val="-1"/>
                <w:sz w:val="18"/>
                <w:szCs w:val="18"/>
              </w:rPr>
              <w:t xml:space="preserve"> </w:t>
            </w:r>
            <w:r w:rsidRPr="00DC74E2">
              <w:rPr>
                <w:sz w:val="18"/>
                <w:szCs w:val="18"/>
              </w:rPr>
              <w:t>in</w:t>
            </w:r>
            <w:r w:rsidRPr="00DC74E2">
              <w:rPr>
                <w:spacing w:val="-1"/>
                <w:sz w:val="18"/>
                <w:szCs w:val="18"/>
              </w:rPr>
              <w:t xml:space="preserve"> </w:t>
            </w:r>
            <w:r w:rsidRPr="00DC74E2">
              <w:rPr>
                <w:sz w:val="18"/>
                <w:szCs w:val="18"/>
              </w:rPr>
              <w:t>IP</w:t>
            </w:r>
            <w:r w:rsidRPr="00DC74E2">
              <w:rPr>
                <w:spacing w:val="-2"/>
                <w:sz w:val="18"/>
                <w:szCs w:val="18"/>
              </w:rPr>
              <w:t xml:space="preserve"> omrežje</w:t>
            </w:r>
          </w:p>
        </w:tc>
        <w:tc>
          <w:tcPr>
            <w:tcW w:w="2328" w:type="dxa"/>
          </w:tcPr>
          <w:p w14:paraId="640513F3" w14:textId="1CCA7E5A" w:rsidR="000F48BE" w:rsidRPr="00DC74E2" w:rsidRDefault="004D3192" w:rsidP="004D3192">
            <w:pPr>
              <w:pStyle w:val="TableParagraph"/>
              <w:jc w:val="center"/>
              <w:rPr>
                <w:sz w:val="18"/>
              </w:rPr>
            </w:pPr>
            <w:r w:rsidRPr="00DC74E2">
              <w:rPr>
                <w:spacing w:val="-2"/>
                <w:sz w:val="18"/>
              </w:rPr>
              <w:t>30</w:t>
            </w:r>
            <w:r w:rsidR="000F48BE" w:rsidRPr="00DC74E2">
              <w:rPr>
                <w:spacing w:val="-2"/>
                <w:sz w:val="18"/>
              </w:rPr>
              <w:t>.000</w:t>
            </w:r>
          </w:p>
        </w:tc>
      </w:tr>
      <w:tr w:rsidR="000F48BE" w14:paraId="1498D63D" w14:textId="77777777" w:rsidTr="00A713F8">
        <w:trPr>
          <w:trHeight w:val="268"/>
        </w:trPr>
        <w:tc>
          <w:tcPr>
            <w:tcW w:w="583" w:type="dxa"/>
          </w:tcPr>
          <w:p w14:paraId="4305ED8F" w14:textId="63C5A087" w:rsidR="000F48BE" w:rsidRDefault="000F48BE" w:rsidP="004D3192">
            <w:pPr>
              <w:pStyle w:val="TableParagraph"/>
              <w:jc w:val="center"/>
              <w:rPr>
                <w:sz w:val="18"/>
              </w:rPr>
            </w:pPr>
            <w:r>
              <w:rPr>
                <w:spacing w:val="-5"/>
                <w:sz w:val="18"/>
              </w:rPr>
              <w:t>4</w:t>
            </w:r>
          </w:p>
        </w:tc>
        <w:tc>
          <w:tcPr>
            <w:tcW w:w="4973" w:type="dxa"/>
          </w:tcPr>
          <w:p w14:paraId="557756AC" w14:textId="098C37F2" w:rsidR="000F48BE" w:rsidRPr="00DC74E2" w:rsidRDefault="000F48BE" w:rsidP="004D3192">
            <w:pPr>
              <w:pStyle w:val="TableParagraph"/>
              <w:rPr>
                <w:sz w:val="18"/>
                <w:szCs w:val="18"/>
              </w:rPr>
            </w:pPr>
            <w:r w:rsidRPr="00DC74E2">
              <w:rPr>
                <w:sz w:val="18"/>
                <w:szCs w:val="18"/>
              </w:rPr>
              <w:t>Telemach</w:t>
            </w:r>
            <w:r w:rsidRPr="00DC74E2">
              <w:rPr>
                <w:spacing w:val="-3"/>
                <w:sz w:val="18"/>
                <w:szCs w:val="18"/>
              </w:rPr>
              <w:t xml:space="preserve"> </w:t>
            </w:r>
            <w:r w:rsidRPr="00DC74E2">
              <w:rPr>
                <w:sz w:val="18"/>
                <w:szCs w:val="18"/>
              </w:rPr>
              <w:t>v</w:t>
            </w:r>
            <w:r w:rsidRPr="00DC74E2">
              <w:rPr>
                <w:spacing w:val="-1"/>
                <w:sz w:val="18"/>
                <w:szCs w:val="18"/>
              </w:rPr>
              <w:t xml:space="preserve"> </w:t>
            </w:r>
            <w:r w:rsidRPr="00DC74E2">
              <w:rPr>
                <w:sz w:val="18"/>
                <w:szCs w:val="18"/>
              </w:rPr>
              <w:t>fiksno</w:t>
            </w:r>
            <w:r w:rsidRPr="00DC74E2">
              <w:rPr>
                <w:spacing w:val="-5"/>
                <w:sz w:val="18"/>
                <w:szCs w:val="18"/>
              </w:rPr>
              <w:t xml:space="preserve"> </w:t>
            </w:r>
            <w:r w:rsidRPr="00DC74E2">
              <w:rPr>
                <w:sz w:val="18"/>
                <w:szCs w:val="18"/>
              </w:rPr>
              <w:t>in</w:t>
            </w:r>
            <w:r w:rsidRPr="00DC74E2">
              <w:rPr>
                <w:spacing w:val="2"/>
                <w:sz w:val="18"/>
                <w:szCs w:val="18"/>
              </w:rPr>
              <w:t xml:space="preserve"> </w:t>
            </w:r>
            <w:r w:rsidRPr="00DC74E2">
              <w:rPr>
                <w:sz w:val="18"/>
                <w:szCs w:val="18"/>
              </w:rPr>
              <w:t>IP</w:t>
            </w:r>
            <w:r w:rsidRPr="00DC74E2">
              <w:rPr>
                <w:spacing w:val="-2"/>
                <w:sz w:val="18"/>
                <w:szCs w:val="18"/>
              </w:rPr>
              <w:t xml:space="preserve"> omrežje</w:t>
            </w:r>
          </w:p>
        </w:tc>
        <w:tc>
          <w:tcPr>
            <w:tcW w:w="2328" w:type="dxa"/>
          </w:tcPr>
          <w:p w14:paraId="5E44E883" w14:textId="06BF9979" w:rsidR="000F48BE" w:rsidRPr="00DC74E2" w:rsidRDefault="004D3192" w:rsidP="004D3192">
            <w:pPr>
              <w:pStyle w:val="TableParagraph"/>
              <w:jc w:val="center"/>
              <w:rPr>
                <w:sz w:val="18"/>
              </w:rPr>
            </w:pPr>
            <w:r w:rsidRPr="00DC74E2">
              <w:rPr>
                <w:spacing w:val="-2"/>
                <w:sz w:val="18"/>
              </w:rPr>
              <w:t>12</w:t>
            </w:r>
            <w:r w:rsidR="000F48BE" w:rsidRPr="00DC74E2">
              <w:rPr>
                <w:spacing w:val="-2"/>
                <w:sz w:val="18"/>
              </w:rPr>
              <w:t>.000</w:t>
            </w:r>
          </w:p>
        </w:tc>
      </w:tr>
      <w:tr w:rsidR="000F48BE" w14:paraId="0A031349" w14:textId="77777777" w:rsidTr="00A713F8">
        <w:trPr>
          <w:trHeight w:val="268"/>
        </w:trPr>
        <w:tc>
          <w:tcPr>
            <w:tcW w:w="583" w:type="dxa"/>
          </w:tcPr>
          <w:p w14:paraId="77C1AB63" w14:textId="2FAC363B" w:rsidR="000F48BE" w:rsidRDefault="000F48BE" w:rsidP="004D3192">
            <w:pPr>
              <w:pStyle w:val="TableParagraph"/>
              <w:jc w:val="center"/>
              <w:rPr>
                <w:spacing w:val="-5"/>
                <w:sz w:val="18"/>
              </w:rPr>
            </w:pPr>
            <w:r>
              <w:rPr>
                <w:spacing w:val="-5"/>
                <w:sz w:val="18"/>
              </w:rPr>
              <w:t>5</w:t>
            </w:r>
          </w:p>
        </w:tc>
        <w:tc>
          <w:tcPr>
            <w:tcW w:w="4973" w:type="dxa"/>
          </w:tcPr>
          <w:p w14:paraId="5BD8E6EE" w14:textId="28DD1E38" w:rsidR="000F48BE" w:rsidRPr="00DC74E2" w:rsidRDefault="000F48BE" w:rsidP="004D3192">
            <w:pPr>
              <w:pStyle w:val="TableParagraph"/>
              <w:rPr>
                <w:sz w:val="18"/>
                <w:szCs w:val="18"/>
                <w:lang w:val="it-IT"/>
              </w:rPr>
            </w:pPr>
            <w:r w:rsidRPr="00DC74E2">
              <w:rPr>
                <w:sz w:val="18"/>
                <w:szCs w:val="18"/>
                <w:lang w:val="it-IT"/>
              </w:rPr>
              <w:t>Ostali operaterji v fiksno in IP omrežje</w:t>
            </w:r>
          </w:p>
        </w:tc>
        <w:tc>
          <w:tcPr>
            <w:tcW w:w="2328" w:type="dxa"/>
          </w:tcPr>
          <w:p w14:paraId="2B201CF1" w14:textId="04E4A62C" w:rsidR="000F48BE" w:rsidRPr="00DC74E2" w:rsidRDefault="004D3192" w:rsidP="004D3192">
            <w:pPr>
              <w:pStyle w:val="TableParagraph"/>
              <w:jc w:val="center"/>
              <w:rPr>
                <w:spacing w:val="-2"/>
                <w:sz w:val="18"/>
              </w:rPr>
            </w:pPr>
            <w:r w:rsidRPr="00DC74E2">
              <w:rPr>
                <w:spacing w:val="-2"/>
                <w:sz w:val="18"/>
              </w:rPr>
              <w:t>15</w:t>
            </w:r>
            <w:r w:rsidR="000F48BE" w:rsidRPr="00DC74E2">
              <w:rPr>
                <w:spacing w:val="-2"/>
                <w:sz w:val="18"/>
              </w:rPr>
              <w:t>.000</w:t>
            </w:r>
          </w:p>
        </w:tc>
      </w:tr>
      <w:tr w:rsidR="000F48BE" w14:paraId="5C20471E" w14:textId="77777777" w:rsidTr="00A713F8">
        <w:trPr>
          <w:trHeight w:val="270"/>
        </w:trPr>
        <w:tc>
          <w:tcPr>
            <w:tcW w:w="583" w:type="dxa"/>
          </w:tcPr>
          <w:p w14:paraId="465FA42C" w14:textId="377E77BD" w:rsidR="000F48BE" w:rsidRDefault="004D3192" w:rsidP="004D3192">
            <w:pPr>
              <w:pStyle w:val="TableParagraph"/>
              <w:jc w:val="center"/>
              <w:rPr>
                <w:sz w:val="18"/>
              </w:rPr>
            </w:pPr>
            <w:r>
              <w:rPr>
                <w:spacing w:val="-5"/>
                <w:sz w:val="18"/>
              </w:rPr>
              <w:t>6</w:t>
            </w:r>
          </w:p>
        </w:tc>
        <w:tc>
          <w:tcPr>
            <w:tcW w:w="4973" w:type="dxa"/>
          </w:tcPr>
          <w:p w14:paraId="5E2A06CC" w14:textId="668DBDA2" w:rsidR="000F48BE" w:rsidRPr="00DC74E2" w:rsidRDefault="000F48BE" w:rsidP="004D3192">
            <w:pPr>
              <w:pStyle w:val="TableParagraph"/>
              <w:rPr>
                <w:sz w:val="18"/>
                <w:szCs w:val="18"/>
                <w:lang w:val="it-IT"/>
              </w:rPr>
            </w:pPr>
            <w:r w:rsidRPr="00DC74E2">
              <w:rPr>
                <w:sz w:val="18"/>
                <w:szCs w:val="18"/>
                <w:lang w:val="it-IT"/>
              </w:rPr>
              <w:t>Telekom</w:t>
            </w:r>
            <w:r w:rsidRPr="00DC74E2">
              <w:rPr>
                <w:spacing w:val="-1"/>
                <w:sz w:val="18"/>
                <w:szCs w:val="18"/>
                <w:lang w:val="it-IT"/>
              </w:rPr>
              <w:t xml:space="preserve"> </w:t>
            </w:r>
            <w:r w:rsidRPr="00DC74E2">
              <w:rPr>
                <w:sz w:val="18"/>
                <w:szCs w:val="18"/>
                <w:lang w:val="it-IT"/>
              </w:rPr>
              <w:t>Slovenije</w:t>
            </w:r>
            <w:r w:rsidRPr="00DC74E2">
              <w:rPr>
                <w:spacing w:val="-3"/>
                <w:sz w:val="18"/>
                <w:szCs w:val="18"/>
                <w:lang w:val="it-IT"/>
              </w:rPr>
              <w:t xml:space="preserve"> </w:t>
            </w:r>
            <w:r w:rsidRPr="00DC74E2">
              <w:rPr>
                <w:sz w:val="18"/>
                <w:szCs w:val="18"/>
                <w:lang w:val="it-IT"/>
              </w:rPr>
              <w:t>v</w:t>
            </w:r>
            <w:r w:rsidRPr="00DC74E2">
              <w:rPr>
                <w:spacing w:val="-2"/>
                <w:sz w:val="18"/>
                <w:szCs w:val="18"/>
                <w:lang w:val="it-IT"/>
              </w:rPr>
              <w:t xml:space="preserve"> </w:t>
            </w:r>
            <w:r w:rsidRPr="00DC74E2">
              <w:rPr>
                <w:sz w:val="18"/>
                <w:szCs w:val="18"/>
                <w:lang w:val="it-IT"/>
              </w:rPr>
              <w:t>mobilno</w:t>
            </w:r>
            <w:r w:rsidRPr="00DC74E2">
              <w:rPr>
                <w:spacing w:val="-3"/>
                <w:sz w:val="18"/>
                <w:szCs w:val="18"/>
                <w:lang w:val="it-IT"/>
              </w:rPr>
              <w:t xml:space="preserve"> </w:t>
            </w:r>
            <w:r w:rsidRPr="00DC74E2">
              <w:rPr>
                <w:spacing w:val="-2"/>
                <w:sz w:val="18"/>
                <w:szCs w:val="18"/>
                <w:lang w:val="it-IT"/>
              </w:rPr>
              <w:t>omrežje</w:t>
            </w:r>
          </w:p>
        </w:tc>
        <w:tc>
          <w:tcPr>
            <w:tcW w:w="2328" w:type="dxa"/>
          </w:tcPr>
          <w:p w14:paraId="0D539FA5" w14:textId="24D77E5F" w:rsidR="000F48BE" w:rsidRPr="00DC74E2" w:rsidRDefault="004D3192" w:rsidP="004D3192">
            <w:pPr>
              <w:pStyle w:val="TableParagraph"/>
              <w:jc w:val="center"/>
              <w:rPr>
                <w:sz w:val="18"/>
              </w:rPr>
            </w:pPr>
            <w:r w:rsidRPr="00DC74E2">
              <w:rPr>
                <w:spacing w:val="-2"/>
                <w:sz w:val="18"/>
              </w:rPr>
              <w:t>375</w:t>
            </w:r>
            <w:r w:rsidR="000F48BE" w:rsidRPr="00DC74E2">
              <w:rPr>
                <w:spacing w:val="-2"/>
                <w:sz w:val="18"/>
              </w:rPr>
              <w:t>.000</w:t>
            </w:r>
          </w:p>
        </w:tc>
      </w:tr>
      <w:tr w:rsidR="000F48BE" w14:paraId="6D55CBDB" w14:textId="77777777" w:rsidTr="00A713F8">
        <w:trPr>
          <w:trHeight w:val="268"/>
        </w:trPr>
        <w:tc>
          <w:tcPr>
            <w:tcW w:w="583" w:type="dxa"/>
          </w:tcPr>
          <w:p w14:paraId="5D55435B" w14:textId="7AC7A54C" w:rsidR="000F48BE" w:rsidRDefault="004D3192" w:rsidP="004D3192">
            <w:pPr>
              <w:pStyle w:val="TableParagraph"/>
              <w:jc w:val="center"/>
              <w:rPr>
                <w:sz w:val="18"/>
              </w:rPr>
            </w:pPr>
            <w:r>
              <w:rPr>
                <w:spacing w:val="-5"/>
                <w:sz w:val="18"/>
              </w:rPr>
              <w:t>7</w:t>
            </w:r>
          </w:p>
        </w:tc>
        <w:tc>
          <w:tcPr>
            <w:tcW w:w="4973" w:type="dxa"/>
          </w:tcPr>
          <w:p w14:paraId="2B05E4C2" w14:textId="4BF1DACD" w:rsidR="000F48BE" w:rsidRPr="00DC74E2" w:rsidRDefault="000F48BE" w:rsidP="004D3192">
            <w:pPr>
              <w:pStyle w:val="TableParagraph"/>
              <w:rPr>
                <w:sz w:val="18"/>
                <w:szCs w:val="18"/>
              </w:rPr>
            </w:pPr>
            <w:r w:rsidRPr="00DC74E2">
              <w:rPr>
                <w:sz w:val="18"/>
                <w:szCs w:val="18"/>
              </w:rPr>
              <w:t>A1</w:t>
            </w:r>
            <w:r w:rsidRPr="00DC74E2">
              <w:rPr>
                <w:spacing w:val="52"/>
                <w:sz w:val="18"/>
                <w:szCs w:val="18"/>
              </w:rPr>
              <w:t xml:space="preserve"> </w:t>
            </w:r>
            <w:r w:rsidRPr="00DC74E2">
              <w:rPr>
                <w:sz w:val="18"/>
                <w:szCs w:val="18"/>
              </w:rPr>
              <w:t>v</w:t>
            </w:r>
            <w:r w:rsidRPr="00DC74E2">
              <w:rPr>
                <w:spacing w:val="1"/>
                <w:sz w:val="18"/>
                <w:szCs w:val="18"/>
              </w:rPr>
              <w:t xml:space="preserve"> </w:t>
            </w:r>
            <w:r w:rsidRPr="00DC74E2">
              <w:rPr>
                <w:sz w:val="18"/>
                <w:szCs w:val="18"/>
              </w:rPr>
              <w:t>mobilno</w:t>
            </w:r>
            <w:r w:rsidRPr="00DC74E2">
              <w:rPr>
                <w:spacing w:val="-3"/>
                <w:sz w:val="18"/>
                <w:szCs w:val="18"/>
              </w:rPr>
              <w:t xml:space="preserve"> </w:t>
            </w:r>
            <w:r w:rsidRPr="00DC74E2">
              <w:rPr>
                <w:spacing w:val="-2"/>
                <w:sz w:val="18"/>
                <w:szCs w:val="18"/>
              </w:rPr>
              <w:t>omrežje</w:t>
            </w:r>
          </w:p>
        </w:tc>
        <w:tc>
          <w:tcPr>
            <w:tcW w:w="2328" w:type="dxa"/>
          </w:tcPr>
          <w:p w14:paraId="1C25B321" w14:textId="0391C686" w:rsidR="000F48BE" w:rsidRPr="00DC74E2" w:rsidRDefault="004D3192" w:rsidP="004D3192">
            <w:pPr>
              <w:pStyle w:val="TableParagraph"/>
              <w:jc w:val="center"/>
              <w:rPr>
                <w:sz w:val="18"/>
              </w:rPr>
            </w:pPr>
            <w:r w:rsidRPr="00DC74E2">
              <w:rPr>
                <w:spacing w:val="-2"/>
                <w:sz w:val="18"/>
              </w:rPr>
              <w:t>195</w:t>
            </w:r>
            <w:r w:rsidR="000F48BE" w:rsidRPr="00DC74E2">
              <w:rPr>
                <w:spacing w:val="-2"/>
                <w:sz w:val="18"/>
              </w:rPr>
              <w:t>.000</w:t>
            </w:r>
          </w:p>
        </w:tc>
      </w:tr>
      <w:tr w:rsidR="000F48BE" w14:paraId="4DA05950" w14:textId="77777777" w:rsidTr="00A713F8">
        <w:trPr>
          <w:trHeight w:val="268"/>
        </w:trPr>
        <w:tc>
          <w:tcPr>
            <w:tcW w:w="583" w:type="dxa"/>
          </w:tcPr>
          <w:p w14:paraId="3B7FF4E6" w14:textId="581D41EE" w:rsidR="000F48BE" w:rsidRDefault="004D3192" w:rsidP="004D3192">
            <w:pPr>
              <w:pStyle w:val="TableParagraph"/>
              <w:jc w:val="center"/>
              <w:rPr>
                <w:spacing w:val="-5"/>
                <w:sz w:val="18"/>
              </w:rPr>
            </w:pPr>
            <w:r>
              <w:rPr>
                <w:spacing w:val="-5"/>
                <w:sz w:val="18"/>
              </w:rPr>
              <w:lastRenderedPageBreak/>
              <w:t>8</w:t>
            </w:r>
          </w:p>
        </w:tc>
        <w:tc>
          <w:tcPr>
            <w:tcW w:w="4973" w:type="dxa"/>
          </w:tcPr>
          <w:p w14:paraId="36E2F1DF" w14:textId="039FC409" w:rsidR="000F48BE" w:rsidRPr="00DC74E2" w:rsidRDefault="000F48BE" w:rsidP="004D3192">
            <w:pPr>
              <w:pStyle w:val="TableParagraph"/>
              <w:rPr>
                <w:sz w:val="18"/>
                <w:szCs w:val="18"/>
              </w:rPr>
            </w:pPr>
            <w:r w:rsidRPr="00DC74E2">
              <w:rPr>
                <w:sz w:val="18"/>
                <w:szCs w:val="18"/>
              </w:rPr>
              <w:t>T2</w:t>
            </w:r>
            <w:r w:rsidRPr="00DC74E2">
              <w:rPr>
                <w:spacing w:val="-3"/>
                <w:sz w:val="18"/>
                <w:szCs w:val="18"/>
              </w:rPr>
              <w:t xml:space="preserve"> </w:t>
            </w:r>
            <w:r w:rsidRPr="00DC74E2">
              <w:rPr>
                <w:sz w:val="18"/>
                <w:szCs w:val="18"/>
              </w:rPr>
              <w:t>v</w:t>
            </w:r>
            <w:r w:rsidRPr="00DC74E2">
              <w:rPr>
                <w:spacing w:val="-2"/>
                <w:sz w:val="18"/>
                <w:szCs w:val="18"/>
              </w:rPr>
              <w:t xml:space="preserve"> </w:t>
            </w:r>
            <w:r w:rsidRPr="00DC74E2">
              <w:rPr>
                <w:sz w:val="18"/>
                <w:szCs w:val="18"/>
              </w:rPr>
              <w:t>mobilno</w:t>
            </w:r>
            <w:r w:rsidRPr="00DC74E2">
              <w:rPr>
                <w:spacing w:val="-3"/>
                <w:sz w:val="18"/>
                <w:szCs w:val="18"/>
              </w:rPr>
              <w:t xml:space="preserve"> </w:t>
            </w:r>
            <w:r w:rsidRPr="00DC74E2">
              <w:rPr>
                <w:spacing w:val="-2"/>
                <w:sz w:val="18"/>
                <w:szCs w:val="18"/>
              </w:rPr>
              <w:t>omrežje</w:t>
            </w:r>
          </w:p>
        </w:tc>
        <w:tc>
          <w:tcPr>
            <w:tcW w:w="2328" w:type="dxa"/>
          </w:tcPr>
          <w:p w14:paraId="3B65DB71" w14:textId="030B9DC5" w:rsidR="000F48BE" w:rsidRPr="00DC74E2" w:rsidRDefault="004D3192" w:rsidP="004D3192">
            <w:pPr>
              <w:pStyle w:val="TableParagraph"/>
              <w:jc w:val="center"/>
              <w:rPr>
                <w:spacing w:val="-2"/>
                <w:sz w:val="18"/>
              </w:rPr>
            </w:pPr>
            <w:r w:rsidRPr="00DC74E2">
              <w:rPr>
                <w:spacing w:val="-2"/>
                <w:sz w:val="18"/>
              </w:rPr>
              <w:t>75</w:t>
            </w:r>
            <w:r w:rsidR="000F48BE" w:rsidRPr="00DC74E2">
              <w:rPr>
                <w:spacing w:val="-2"/>
                <w:sz w:val="18"/>
              </w:rPr>
              <w:t>.000</w:t>
            </w:r>
          </w:p>
        </w:tc>
      </w:tr>
      <w:tr w:rsidR="000F48BE" w14:paraId="128D2EA3" w14:textId="77777777" w:rsidTr="00A713F8">
        <w:trPr>
          <w:trHeight w:val="268"/>
        </w:trPr>
        <w:tc>
          <w:tcPr>
            <w:tcW w:w="583" w:type="dxa"/>
          </w:tcPr>
          <w:p w14:paraId="5B5437C6" w14:textId="757721E5" w:rsidR="000F48BE" w:rsidRDefault="004D3192" w:rsidP="004D3192">
            <w:pPr>
              <w:pStyle w:val="TableParagraph"/>
              <w:jc w:val="center"/>
              <w:rPr>
                <w:spacing w:val="-5"/>
                <w:sz w:val="18"/>
              </w:rPr>
            </w:pPr>
            <w:r>
              <w:rPr>
                <w:spacing w:val="-5"/>
                <w:sz w:val="18"/>
              </w:rPr>
              <w:t>9</w:t>
            </w:r>
          </w:p>
        </w:tc>
        <w:tc>
          <w:tcPr>
            <w:tcW w:w="4973" w:type="dxa"/>
          </w:tcPr>
          <w:p w14:paraId="48EC88F0" w14:textId="1B9F3C17" w:rsidR="000F48BE" w:rsidRPr="00DC74E2" w:rsidRDefault="000F48BE" w:rsidP="004D3192">
            <w:pPr>
              <w:pStyle w:val="TableParagraph"/>
              <w:rPr>
                <w:sz w:val="18"/>
                <w:szCs w:val="18"/>
              </w:rPr>
            </w:pPr>
            <w:r w:rsidRPr="00DC74E2">
              <w:rPr>
                <w:sz w:val="18"/>
                <w:szCs w:val="18"/>
              </w:rPr>
              <w:t>Telemach</w:t>
            </w:r>
            <w:r w:rsidRPr="00DC74E2">
              <w:rPr>
                <w:spacing w:val="-3"/>
                <w:sz w:val="18"/>
                <w:szCs w:val="18"/>
              </w:rPr>
              <w:t xml:space="preserve"> </w:t>
            </w:r>
            <w:r w:rsidRPr="00DC74E2">
              <w:rPr>
                <w:sz w:val="18"/>
                <w:szCs w:val="18"/>
              </w:rPr>
              <w:t>v</w:t>
            </w:r>
            <w:r w:rsidRPr="00DC74E2">
              <w:rPr>
                <w:spacing w:val="-1"/>
                <w:sz w:val="18"/>
                <w:szCs w:val="18"/>
              </w:rPr>
              <w:t xml:space="preserve"> </w:t>
            </w:r>
            <w:r w:rsidRPr="00DC74E2">
              <w:rPr>
                <w:sz w:val="18"/>
                <w:szCs w:val="18"/>
              </w:rPr>
              <w:t>mobilno</w:t>
            </w:r>
            <w:r w:rsidRPr="00DC74E2">
              <w:rPr>
                <w:spacing w:val="-3"/>
                <w:sz w:val="18"/>
                <w:szCs w:val="18"/>
              </w:rPr>
              <w:t xml:space="preserve"> </w:t>
            </w:r>
            <w:r w:rsidRPr="00DC74E2">
              <w:rPr>
                <w:spacing w:val="-2"/>
                <w:sz w:val="18"/>
                <w:szCs w:val="18"/>
              </w:rPr>
              <w:t>omrežje</w:t>
            </w:r>
          </w:p>
        </w:tc>
        <w:tc>
          <w:tcPr>
            <w:tcW w:w="2328" w:type="dxa"/>
          </w:tcPr>
          <w:p w14:paraId="354E2925" w14:textId="6A2F11F6" w:rsidR="000F48BE" w:rsidRPr="00DC74E2" w:rsidRDefault="004D3192" w:rsidP="004D3192">
            <w:pPr>
              <w:pStyle w:val="TableParagraph"/>
              <w:jc w:val="center"/>
              <w:rPr>
                <w:spacing w:val="-2"/>
                <w:sz w:val="18"/>
              </w:rPr>
            </w:pPr>
            <w:r w:rsidRPr="00DC74E2">
              <w:rPr>
                <w:spacing w:val="-2"/>
                <w:sz w:val="18"/>
              </w:rPr>
              <w:t>90</w:t>
            </w:r>
            <w:r w:rsidR="000F48BE" w:rsidRPr="00DC74E2">
              <w:rPr>
                <w:spacing w:val="-2"/>
                <w:sz w:val="18"/>
              </w:rPr>
              <w:t>.000</w:t>
            </w:r>
          </w:p>
        </w:tc>
      </w:tr>
      <w:tr w:rsidR="000F48BE" w14:paraId="2D9CE649" w14:textId="77777777" w:rsidTr="00A713F8">
        <w:trPr>
          <w:trHeight w:val="268"/>
        </w:trPr>
        <w:tc>
          <w:tcPr>
            <w:tcW w:w="583" w:type="dxa"/>
          </w:tcPr>
          <w:p w14:paraId="26C413DE" w14:textId="4F99DA9B" w:rsidR="000F48BE" w:rsidRDefault="004D3192" w:rsidP="004D3192">
            <w:pPr>
              <w:pStyle w:val="TableParagraph"/>
              <w:jc w:val="center"/>
              <w:rPr>
                <w:spacing w:val="-5"/>
                <w:sz w:val="18"/>
              </w:rPr>
            </w:pPr>
            <w:r>
              <w:rPr>
                <w:spacing w:val="-5"/>
                <w:sz w:val="18"/>
              </w:rPr>
              <w:t>10</w:t>
            </w:r>
          </w:p>
        </w:tc>
        <w:tc>
          <w:tcPr>
            <w:tcW w:w="4973" w:type="dxa"/>
          </w:tcPr>
          <w:p w14:paraId="4B3AE677" w14:textId="3A0F8A02" w:rsidR="000F48BE" w:rsidRPr="00DC74E2" w:rsidRDefault="000F48BE" w:rsidP="004D3192">
            <w:pPr>
              <w:pStyle w:val="TableParagraph"/>
              <w:rPr>
                <w:sz w:val="18"/>
                <w:szCs w:val="18"/>
                <w:lang w:val="it-IT"/>
              </w:rPr>
            </w:pPr>
            <w:r w:rsidRPr="00DC74E2">
              <w:rPr>
                <w:sz w:val="18"/>
                <w:szCs w:val="18"/>
                <w:lang w:val="it-IT"/>
              </w:rPr>
              <w:t>Ostali operaterji v mobilno</w:t>
            </w:r>
            <w:r w:rsidRPr="00DC74E2">
              <w:rPr>
                <w:spacing w:val="-3"/>
                <w:sz w:val="18"/>
                <w:szCs w:val="18"/>
                <w:lang w:val="it-IT"/>
              </w:rPr>
              <w:t xml:space="preserve"> </w:t>
            </w:r>
            <w:r w:rsidRPr="00DC74E2">
              <w:rPr>
                <w:spacing w:val="-2"/>
                <w:sz w:val="18"/>
                <w:szCs w:val="18"/>
                <w:lang w:val="it-IT"/>
              </w:rPr>
              <w:t>omrežje</w:t>
            </w:r>
          </w:p>
        </w:tc>
        <w:tc>
          <w:tcPr>
            <w:tcW w:w="2328" w:type="dxa"/>
          </w:tcPr>
          <w:p w14:paraId="2DA853A0" w14:textId="24398D6B" w:rsidR="000F48BE" w:rsidRPr="00DC74E2" w:rsidRDefault="00DC74E2" w:rsidP="004D3192">
            <w:pPr>
              <w:pStyle w:val="TableParagraph"/>
              <w:jc w:val="center"/>
              <w:rPr>
                <w:spacing w:val="-2"/>
                <w:sz w:val="18"/>
              </w:rPr>
            </w:pPr>
            <w:r w:rsidRPr="00DC74E2">
              <w:rPr>
                <w:spacing w:val="-2"/>
                <w:sz w:val="18"/>
              </w:rPr>
              <w:t>30</w:t>
            </w:r>
            <w:r w:rsidR="000F48BE" w:rsidRPr="00DC74E2">
              <w:rPr>
                <w:spacing w:val="-2"/>
                <w:sz w:val="18"/>
              </w:rPr>
              <w:t>.000</w:t>
            </w:r>
          </w:p>
        </w:tc>
      </w:tr>
      <w:tr w:rsidR="000F48BE" w14:paraId="1590E65A" w14:textId="77777777" w:rsidTr="00A713F8">
        <w:trPr>
          <w:trHeight w:val="268"/>
        </w:trPr>
        <w:tc>
          <w:tcPr>
            <w:tcW w:w="583" w:type="dxa"/>
          </w:tcPr>
          <w:p w14:paraId="0F7A8CB8" w14:textId="01B8D8F2" w:rsidR="000F48BE" w:rsidRDefault="004D3192" w:rsidP="004D3192">
            <w:pPr>
              <w:pStyle w:val="TableParagraph"/>
              <w:jc w:val="center"/>
              <w:rPr>
                <w:sz w:val="18"/>
              </w:rPr>
            </w:pPr>
            <w:r>
              <w:rPr>
                <w:spacing w:val="-5"/>
                <w:sz w:val="18"/>
              </w:rPr>
              <w:t>11</w:t>
            </w:r>
          </w:p>
        </w:tc>
        <w:tc>
          <w:tcPr>
            <w:tcW w:w="4973" w:type="dxa"/>
          </w:tcPr>
          <w:p w14:paraId="6B752191" w14:textId="3C057D2B" w:rsidR="000F48BE" w:rsidRPr="00DC74E2" w:rsidRDefault="000F48BE" w:rsidP="004D3192">
            <w:pPr>
              <w:pStyle w:val="TableParagraph"/>
              <w:spacing w:line="199" w:lineRule="exact"/>
              <w:rPr>
                <w:sz w:val="18"/>
              </w:rPr>
            </w:pPr>
            <w:r w:rsidRPr="00DC74E2">
              <w:rPr>
                <w:sz w:val="18"/>
                <w:szCs w:val="18"/>
              </w:rPr>
              <w:t>V mednarodnem prometu držav članic EU (fiksno in mobilno)</w:t>
            </w:r>
          </w:p>
        </w:tc>
        <w:tc>
          <w:tcPr>
            <w:tcW w:w="2328" w:type="dxa"/>
          </w:tcPr>
          <w:p w14:paraId="0795B6C2" w14:textId="5EDFADC5" w:rsidR="000F48BE" w:rsidRPr="00DC74E2" w:rsidRDefault="00DC74E2" w:rsidP="004D3192">
            <w:pPr>
              <w:pStyle w:val="TableParagraph"/>
              <w:jc w:val="center"/>
              <w:rPr>
                <w:sz w:val="18"/>
              </w:rPr>
            </w:pPr>
            <w:r w:rsidRPr="00DC74E2">
              <w:rPr>
                <w:spacing w:val="-2"/>
                <w:sz w:val="18"/>
              </w:rPr>
              <w:t>4</w:t>
            </w:r>
            <w:r w:rsidR="004D3192" w:rsidRPr="00DC74E2">
              <w:rPr>
                <w:spacing w:val="-2"/>
                <w:sz w:val="18"/>
              </w:rPr>
              <w:t>.000</w:t>
            </w:r>
          </w:p>
        </w:tc>
      </w:tr>
    </w:tbl>
    <w:bookmarkEnd w:id="0"/>
    <w:p w14:paraId="4731B594" w14:textId="1B34716C" w:rsidR="009D1DB5" w:rsidRPr="00DC74E2" w:rsidRDefault="00F24058" w:rsidP="00401F21">
      <w:pPr>
        <w:pStyle w:val="Naslov2"/>
      </w:pPr>
      <w:r w:rsidRPr="00DC74E2">
        <w:t xml:space="preserve">IZHODIŠČNE </w:t>
      </w:r>
      <w:r w:rsidR="00AB422C" w:rsidRPr="00DC74E2">
        <w:t xml:space="preserve">TEHNIČNE </w:t>
      </w:r>
      <w:r w:rsidRPr="00DC74E2">
        <w:t>ZAHTEVE</w:t>
      </w:r>
    </w:p>
    <w:p w14:paraId="607D6CBF" w14:textId="77777777" w:rsidR="00E55D14" w:rsidRDefault="009D1DB5" w:rsidP="00882497">
      <w:r w:rsidRPr="001C3B70">
        <w:t>Naročnik za dosego svojih poslovnih ciljev potrebuje kakovostno storitev, ki bo odločilno vplivala na izvajanje ključnih naročnikovih poslovnih procesov.</w:t>
      </w:r>
      <w:r w:rsidR="00E55D14">
        <w:t xml:space="preserve"> Naročnik je zakonsko zavezan v kritično infrastrukturo in opredeljen kot izvajalec bistvenih storitev – zdravstva.</w:t>
      </w:r>
      <w:r w:rsidRPr="001C3B70">
        <w:t xml:space="preserve"> V ta namen se od izvajalca zahteva izvajanje visokokakovostne storitve, podprte s primerno/ustrezno infrastrukturo</w:t>
      </w:r>
      <w:r w:rsidR="00E55D14">
        <w:t xml:space="preserve"> in zagotavljanjem vsaj 99,5% razpoložljivost sistema (več v nadaljevanju).</w:t>
      </w:r>
    </w:p>
    <w:p w14:paraId="590FC84E" w14:textId="7976C53C" w:rsidR="009D1DB5" w:rsidRDefault="009D1DB5" w:rsidP="00882497">
      <w:r w:rsidRPr="001C3B70">
        <w:t>Zahtevane tehnične specifikacije opreme ne privilegirajo določene rešitve ali določenega produkta/opreme ali določenega proizvajalca ali določenega ponudnika, ampak definirajo samo okvir rešitve oziroma razred opreme in nivoje kakovosti, ki bo naročniku zanesljivo omogočil dosego poslovnih ciljev</w:t>
      </w:r>
      <w:r w:rsidR="00E55D14">
        <w:t xml:space="preserve"> in opravljanja zakonskih obveznosti za zagotavljanje lastnih storitev</w:t>
      </w:r>
      <w:r w:rsidRPr="001C3B70">
        <w:t>.</w:t>
      </w:r>
    </w:p>
    <w:p w14:paraId="0F2B532C" w14:textId="57A04CFB" w:rsidR="00580307" w:rsidRPr="001C3B70" w:rsidRDefault="00E55D14" w:rsidP="00882497">
      <w:r>
        <w:t>Ker je z</w:t>
      </w:r>
      <w:r w:rsidR="005037A2" w:rsidRPr="001C3B70">
        <w:t>a naročnika</w:t>
      </w:r>
      <w:r>
        <w:t xml:space="preserve"> </w:t>
      </w:r>
      <w:r w:rsidR="005037A2" w:rsidRPr="001C3B70">
        <w:t>bistveno neprekinjeno delovanje</w:t>
      </w:r>
      <w:r w:rsidR="00580307" w:rsidRPr="001C3B70">
        <w:t xml:space="preserve"> v </w:t>
      </w:r>
      <w:r>
        <w:t>n</w:t>
      </w:r>
      <w:r w:rsidR="00580307" w:rsidRPr="001C3B70">
        <w:t>aročilu</w:t>
      </w:r>
      <w:r w:rsidR="005037A2" w:rsidRPr="001C3B70">
        <w:t xml:space="preserve"> zahtevanih storitev</w:t>
      </w:r>
      <w:r w:rsidR="00580307" w:rsidRPr="001C3B70">
        <w:t xml:space="preserve"> v vseh situacijah in pogojih (npr. zagotavljanje delovanj</w:t>
      </w:r>
      <w:r>
        <w:t>a</w:t>
      </w:r>
      <w:r w:rsidR="00580307" w:rsidRPr="001C3B70">
        <w:t xml:space="preserve"> v obdobju epidemij / pandemij) ter preprečevanje morebitnih kibernetskih napadov in drugih zlorab</w:t>
      </w:r>
      <w:r w:rsidR="005037A2" w:rsidRPr="001C3B70">
        <w:t>,</w:t>
      </w:r>
      <w:r w:rsidR="00580307" w:rsidRPr="001C3B70">
        <w:t xml:space="preserve"> zato od ponudnika zahteva, da ima vpeljane interne postopke </w:t>
      </w:r>
      <w:r w:rsidR="006B016C" w:rsidRPr="001C3B70">
        <w:t>ter</w:t>
      </w:r>
      <w:r w:rsidR="00580307" w:rsidRPr="001C3B70">
        <w:t xml:space="preserve"> pridobljene in vzpostavljene operativne ekipe, s katerimi dokazuje svojo sposobnost izpolnjevanja naročnikovih zahtev. </w:t>
      </w:r>
    </w:p>
    <w:p w14:paraId="6BF7D5BF" w14:textId="06D10416" w:rsidR="00E717C0" w:rsidRPr="00FC30BB" w:rsidRDefault="00580307" w:rsidP="00882497">
      <w:pPr>
        <w:rPr>
          <w:rFonts w:ascii="Times New Roman" w:hAnsi="Times New Roman" w:cs="Times New Roman"/>
          <w:b/>
          <w:color w:val="000000" w:themeColor="text1"/>
          <w:sz w:val="24"/>
          <w:szCs w:val="24"/>
        </w:rPr>
      </w:pPr>
      <w:r w:rsidRPr="001C3B70">
        <w:t xml:space="preserve">S ciljem pridobiti čim bolj kompetentnega ponudnika, naročnik </w:t>
      </w:r>
      <w:r w:rsidR="0059673C">
        <w:t>od ponudnikov</w:t>
      </w:r>
      <w:r w:rsidR="005037A2" w:rsidRPr="001C3B70">
        <w:t xml:space="preserve"> pridobljen certifikat ISO 22301</w:t>
      </w:r>
      <w:r w:rsidR="007437C7" w:rsidRPr="001C3B70">
        <w:t xml:space="preserve"> za sistem upravljanja neprekinjenega poslovanja</w:t>
      </w:r>
      <w:r w:rsidR="009971F2" w:rsidRPr="001C3B70">
        <w:t>, s</w:t>
      </w:r>
      <w:r w:rsidR="005037A2" w:rsidRPr="001C3B70">
        <w:t xml:space="preserve"> </w:t>
      </w:r>
      <w:r w:rsidR="009971F2" w:rsidRPr="001C3B70">
        <w:t xml:space="preserve">katerim podjetje izkazuje zanesljivo delovanje storitev in procesov ter hiter in učinkovit odziv ob izrednih  dogodkih, kar pomeni tudi manjše tveganje za daljši izpad zahtevanih storitev, ter pridobljen certifikat </w:t>
      </w:r>
      <w:r w:rsidR="005037A2" w:rsidRPr="001C3B70">
        <w:t>ISO 27001</w:t>
      </w:r>
      <w:r w:rsidR="007437C7" w:rsidRPr="001C3B70">
        <w:t xml:space="preserve"> </w:t>
      </w:r>
      <w:r w:rsidR="00A60790" w:rsidRPr="001C3B70">
        <w:t xml:space="preserve">ali ima vpeljan drugačen enakovreden sistem, </w:t>
      </w:r>
      <w:r w:rsidR="006B016C" w:rsidRPr="001C3B70">
        <w:t>s katerim gospodarski subjekt izkazuje varnost poslovanja in ima vpeljan sistem upravljanja varnosti informacij.</w:t>
      </w:r>
    </w:p>
    <w:p w14:paraId="0FCEF683" w14:textId="0D1465FF" w:rsidR="00DB0476" w:rsidRPr="00FC30BB" w:rsidRDefault="00227420" w:rsidP="00401F21">
      <w:pPr>
        <w:pStyle w:val="Naslov2"/>
      </w:pPr>
      <w:r w:rsidRPr="00FC30BB">
        <w:t xml:space="preserve">ZAHTEVE ZA STORITVE </w:t>
      </w:r>
      <w:r w:rsidR="00DB0476" w:rsidRPr="00FC30BB">
        <w:t xml:space="preserve">STACIONARNE TELEFONIJE </w:t>
      </w:r>
      <w:r w:rsidR="00F42A66">
        <w:t>(SIP TRUNK)</w:t>
      </w:r>
    </w:p>
    <w:p w14:paraId="0BD6B587" w14:textId="76B962CC" w:rsidR="00DB0476" w:rsidRPr="00FC30BB" w:rsidRDefault="00084C2F" w:rsidP="00882497">
      <w:pPr>
        <w:pStyle w:val="Naslov3"/>
        <w:numPr>
          <w:ilvl w:val="0"/>
          <w:numId w:val="18"/>
        </w:numPr>
      </w:pPr>
      <w:r w:rsidRPr="00FC30BB">
        <w:t xml:space="preserve">Splošno </w:t>
      </w:r>
      <w:r w:rsidR="009145EB" w:rsidRPr="00FC30BB">
        <w:t xml:space="preserve"> </w:t>
      </w:r>
    </w:p>
    <w:p w14:paraId="342948C7" w14:textId="38CB3C62" w:rsidR="009145EB" w:rsidRPr="001C3B70" w:rsidRDefault="00F42A66" w:rsidP="00882497">
      <w:r w:rsidRPr="001C3B70">
        <w:t>Ponudnik se zavezuje vzpostaviti povezljivost, t</w:t>
      </w:r>
      <w:r w:rsidR="009145EB" w:rsidRPr="001C3B70">
        <w:t>estirati in integrirati opremo za postavitev sistema telefonije</w:t>
      </w:r>
      <w:r w:rsidRPr="001C3B70">
        <w:t xml:space="preserve"> in zagotoviti povezljivost s PBX sistemom po zahtevah opredeljen</w:t>
      </w:r>
      <w:r w:rsidR="0059673C">
        <w:t>ih</w:t>
      </w:r>
      <w:r w:rsidRPr="001C3B70">
        <w:t xml:space="preserve"> v nadaljevanju. </w:t>
      </w:r>
      <w:r w:rsidR="00E55D14">
        <w:t>Naročnik oz. naročnikov pogodbeni vzdrževalec interne telefonije bo aktivno sodeloval pri vseh korakih, kjer bo to zaželeno.</w:t>
      </w:r>
    </w:p>
    <w:p w14:paraId="18CEA13A" w14:textId="762B02C5" w:rsidR="001F1062" w:rsidRPr="00DC74E2" w:rsidRDefault="00E55D14" w:rsidP="00882497">
      <w:pPr>
        <w:pStyle w:val="Naslov3"/>
      </w:pPr>
      <w:r>
        <w:t>P</w:t>
      </w:r>
      <w:r w:rsidR="00DC74E2" w:rsidRPr="00DC74E2">
        <w:t>ovezava v javno omrežje</w:t>
      </w:r>
    </w:p>
    <w:p w14:paraId="4A0BF3C1" w14:textId="14DADF30" w:rsidR="001F1062" w:rsidRDefault="001F1062" w:rsidP="00882497">
      <w:r w:rsidRPr="001C3B70">
        <w:t>Ponudnik mora zagotavljati v</w:t>
      </w:r>
      <w:r w:rsidR="00AB422C" w:rsidRPr="001C3B70">
        <w:t>isoko razpoložljivost storitve</w:t>
      </w:r>
      <w:r w:rsidRPr="001C3B70">
        <w:t xml:space="preserve"> telefonije v lastnem omrežju</w:t>
      </w:r>
      <w:r w:rsidR="00F42A66" w:rsidRPr="001C3B70">
        <w:t xml:space="preserve"> (povezljivost ne sme biti vzpostavljena preko interneta po javnih IP naslovih</w:t>
      </w:r>
      <w:r w:rsidR="00AB422C" w:rsidRPr="001C3B70">
        <w:t>)</w:t>
      </w:r>
      <w:r w:rsidRPr="001C3B70">
        <w:t>.</w:t>
      </w:r>
      <w:r w:rsidR="00F42A66" w:rsidRPr="001C3B70">
        <w:t xml:space="preserve"> </w:t>
      </w:r>
      <w:r w:rsidRPr="001C3B70">
        <w:t xml:space="preserve">Storitev </w:t>
      </w:r>
      <w:r w:rsidR="00AB422C" w:rsidRPr="001C3B70">
        <w:t>povezljivosti</w:t>
      </w:r>
      <w:r w:rsidRPr="001C3B70">
        <w:t xml:space="preserve"> s</w:t>
      </w:r>
      <w:r w:rsidR="00554CF4" w:rsidRPr="001C3B70">
        <w:t>e zagotovi s</w:t>
      </w:r>
      <w:r w:rsidRPr="001C3B70">
        <w:t xml:space="preserve"> priključitvijo na javno telefonsko omrežje preko </w:t>
      </w:r>
      <w:r w:rsidR="00AB422C" w:rsidRPr="001C3B70">
        <w:t>optične</w:t>
      </w:r>
      <w:r w:rsidRPr="001C3B70">
        <w:t xml:space="preserve"> povezave</w:t>
      </w:r>
      <w:r w:rsidR="00AB422C" w:rsidRPr="001C3B70">
        <w:t xml:space="preserve"> do lokacije </w:t>
      </w:r>
      <w:r w:rsidR="001C3B70" w:rsidRPr="001C3B70">
        <w:t>ULICA PADLIH BORCEV 13 A, 5290 ŠEMPETER PRI GORICI</w:t>
      </w:r>
      <w:r w:rsidR="001C3B70">
        <w:t xml:space="preserve"> </w:t>
      </w:r>
      <w:r w:rsidR="00554CF4" w:rsidRPr="001C3B70">
        <w:t>z Back</w:t>
      </w:r>
      <w:r w:rsidR="00AA316F">
        <w:t>up</w:t>
      </w:r>
      <w:r w:rsidR="00554CF4">
        <w:t xml:space="preserve"> povezljivostjo</w:t>
      </w:r>
      <w:r w:rsidR="00AB422C">
        <w:t xml:space="preserve"> na lokacijo </w:t>
      </w:r>
      <w:r w:rsidR="00513E0C">
        <w:t>LISKUR 23,</w:t>
      </w:r>
      <w:r w:rsidR="001C3B70" w:rsidRPr="001C3B70">
        <w:t xml:space="preserve"> 5</w:t>
      </w:r>
      <w:r w:rsidR="00513E0C">
        <w:t>000</w:t>
      </w:r>
      <w:r w:rsidR="001C3B70" w:rsidRPr="001C3B70">
        <w:t xml:space="preserve"> </w:t>
      </w:r>
      <w:r w:rsidR="00513E0C">
        <w:t>NOVA GORICA</w:t>
      </w:r>
      <w:r w:rsidR="00DC74E2">
        <w:t>,</w:t>
      </w:r>
      <w:r w:rsidR="00AB422C">
        <w:t xml:space="preserve"> z možnostjo</w:t>
      </w:r>
      <w:r w:rsidR="00DC74E2">
        <w:t xml:space="preserve"> povečanja št. kanalov</w:t>
      </w:r>
      <w:r w:rsidR="00AB422C">
        <w:t>.</w:t>
      </w:r>
    </w:p>
    <w:p w14:paraId="03686764" w14:textId="5235BE01" w:rsidR="001F1062" w:rsidRDefault="00AB422C" w:rsidP="00882497">
      <w:pPr>
        <w:pStyle w:val="Odstavekseznama"/>
        <w:numPr>
          <w:ilvl w:val="0"/>
          <w:numId w:val="21"/>
        </w:numPr>
      </w:pPr>
      <w:r>
        <w:t>dostop primarni</w:t>
      </w:r>
      <w:r w:rsidR="001F1062">
        <w:t xml:space="preserve"> se zaključi na lokaciji naročnika </w:t>
      </w:r>
      <w:r w:rsidR="001C3B70" w:rsidRPr="001C3B70">
        <w:t>ULICA PADLIH BORCEV 13 A, 5290 ŠEMPETER PRI GORICI</w:t>
      </w:r>
      <w:r w:rsidR="001C3B70">
        <w:t xml:space="preserve"> </w:t>
      </w:r>
      <w:r w:rsidR="001F1062">
        <w:t xml:space="preserve">in mora zagotavljati ustrezno pasovno širino za minimalno izvedbo </w:t>
      </w:r>
      <w:r>
        <w:t>6</w:t>
      </w:r>
      <w:r w:rsidR="001F1062">
        <w:t>0 sočasnih klicev z možnostjo naknadne razširitve</w:t>
      </w:r>
      <w:r>
        <w:t xml:space="preserve"> do 90 sočasnih klicev</w:t>
      </w:r>
      <w:r w:rsidR="00416F72">
        <w:t>:</w:t>
      </w:r>
    </w:p>
    <w:p w14:paraId="6D6B5DD2" w14:textId="730336C2" w:rsidR="00416F72" w:rsidRDefault="00416F72" w:rsidP="00416F72">
      <w:pPr>
        <w:pStyle w:val="Odstavekseznama"/>
        <w:numPr>
          <w:ilvl w:val="1"/>
          <w:numId w:val="21"/>
        </w:numPr>
      </w:pPr>
      <w:r>
        <w:t>Povezava se poveže na naročnikovo telefonsko centralo na primarni lokaciji naročnika preko 2x E1 vmesnika.</w:t>
      </w:r>
    </w:p>
    <w:p w14:paraId="76239F4E" w14:textId="4B30E063" w:rsidR="008F5C3A" w:rsidRPr="00882497" w:rsidRDefault="00AA316F" w:rsidP="00882497">
      <w:pPr>
        <w:pStyle w:val="Odstavekseznama"/>
        <w:numPr>
          <w:ilvl w:val="0"/>
          <w:numId w:val="21"/>
        </w:numPr>
      </w:pPr>
      <w:r>
        <w:lastRenderedPageBreak/>
        <w:t xml:space="preserve">Povezljivost </w:t>
      </w:r>
      <w:r w:rsidR="00CC20B9" w:rsidRPr="00882497">
        <w:t>(Back</w:t>
      </w:r>
      <w:r>
        <w:t>up</w:t>
      </w:r>
      <w:r w:rsidR="00CC20B9" w:rsidRPr="00882497">
        <w:t>)</w:t>
      </w:r>
      <w:r w:rsidR="00FE1A6A" w:rsidRPr="00882497">
        <w:t xml:space="preserve"> </w:t>
      </w:r>
      <w:r w:rsidR="001F1062" w:rsidRPr="00882497">
        <w:t>se zaključi na opremo</w:t>
      </w:r>
      <w:r w:rsidR="00AB422C" w:rsidRPr="00882497">
        <w:t xml:space="preserve"> naročnik</w:t>
      </w:r>
      <w:r>
        <w:t>a</w:t>
      </w:r>
      <w:r w:rsidR="001F1062" w:rsidRPr="00882497">
        <w:t xml:space="preserve"> </w:t>
      </w:r>
      <w:r w:rsidR="00FE1A6A" w:rsidRPr="00882497">
        <w:t>na</w:t>
      </w:r>
      <w:r w:rsidR="001F1062" w:rsidRPr="00882497">
        <w:t xml:space="preserve"> lokaciji </w:t>
      </w:r>
      <w:r w:rsidR="00574200" w:rsidRPr="00882497">
        <w:t xml:space="preserve">LISKUR 23, 5000 NOVA GORICA </w:t>
      </w:r>
      <w:r w:rsidR="001F1062" w:rsidRPr="00882497">
        <w:t xml:space="preserve">in mora zagotavljati ustrezno pasovno širino za izvedbo </w:t>
      </w:r>
      <w:r w:rsidR="00DC74E2" w:rsidRPr="00882497">
        <w:t>3</w:t>
      </w:r>
      <w:r w:rsidR="008F5C3A" w:rsidRPr="00882497">
        <w:t xml:space="preserve">0 </w:t>
      </w:r>
      <w:r w:rsidR="001F1062" w:rsidRPr="00882497">
        <w:t xml:space="preserve">sočasnih klicev in deluje kot redundanca v primeru izpada </w:t>
      </w:r>
      <w:r w:rsidR="00AB422C" w:rsidRPr="00882497">
        <w:t>primarnega dostopa</w:t>
      </w:r>
      <w:r w:rsidR="00416F72">
        <w:t>:</w:t>
      </w:r>
    </w:p>
    <w:p w14:paraId="48D27E10" w14:textId="7D84C3DF" w:rsidR="001C3B70" w:rsidRPr="00882497" w:rsidRDefault="008F5C3A" w:rsidP="00882497">
      <w:pPr>
        <w:pStyle w:val="Odstavekseznama"/>
        <w:numPr>
          <w:ilvl w:val="1"/>
          <w:numId w:val="21"/>
        </w:numPr>
      </w:pPr>
      <w:r w:rsidRPr="00882497">
        <w:t xml:space="preserve">Povezljivost </w:t>
      </w:r>
      <w:r w:rsidR="00416F72">
        <w:t>(Backup) iz</w:t>
      </w:r>
      <w:r w:rsidRPr="00882497">
        <w:t xml:space="preserve"> lokacij</w:t>
      </w:r>
      <w:r w:rsidR="00416F72">
        <w:t xml:space="preserve">e </w:t>
      </w:r>
      <w:r w:rsidR="00416F72" w:rsidRPr="00882497">
        <w:t>LISKUR 23, 5000 NOVA GORICA</w:t>
      </w:r>
      <w:r w:rsidR="00416F72">
        <w:t xml:space="preserve"> na</w:t>
      </w:r>
      <w:r w:rsidRPr="00882497">
        <w:t xml:space="preserve"> </w:t>
      </w:r>
      <w:r w:rsidR="001C3B70" w:rsidRPr="00882497">
        <w:t xml:space="preserve">ULICA PADLIH BORCEV 13 A, 5290 ŠEMPETER PRI GORICI </w:t>
      </w:r>
      <w:r w:rsidR="00416F72">
        <w:t>lahko zagotovi naročnik</w:t>
      </w:r>
      <w:r w:rsidRPr="00882497">
        <w:t xml:space="preserve"> preko </w:t>
      </w:r>
      <w:r w:rsidR="00416F72">
        <w:t xml:space="preserve">lastne </w:t>
      </w:r>
      <w:r w:rsidRPr="00882497">
        <w:t xml:space="preserve">opreme (namenski VLAN </w:t>
      </w:r>
      <w:r w:rsidR="00513E0C" w:rsidRPr="00882497">
        <w:t>znotraj zakupljene</w:t>
      </w:r>
      <w:r w:rsidR="00416F72">
        <w:t>ga neosvetljenega optičnega vlakna</w:t>
      </w:r>
      <w:r w:rsidR="00513E0C" w:rsidRPr="00882497">
        <w:t xml:space="preserve"> –</w:t>
      </w:r>
      <w:r w:rsidR="00416F72">
        <w:t xml:space="preserve"> ang.</w:t>
      </w:r>
      <w:r w:rsidR="00513E0C" w:rsidRPr="00882497">
        <w:t xml:space="preserve"> dark fiber – ter nadomestn</w:t>
      </w:r>
      <w:r w:rsidR="00416F72">
        <w:t>a</w:t>
      </w:r>
      <w:r w:rsidR="00513E0C" w:rsidRPr="00882497">
        <w:t xml:space="preserve"> povezav</w:t>
      </w:r>
      <w:r w:rsidR="00416F72">
        <w:t>a</w:t>
      </w:r>
      <w:r w:rsidR="00513E0C" w:rsidRPr="00882497">
        <w:t xml:space="preserve"> preko radijskega linka</w:t>
      </w:r>
      <w:r w:rsidR="00416F72">
        <w:t xml:space="preserve"> čez Mark</w:t>
      </w:r>
      <w:r w:rsidRPr="00882497">
        <w:t xml:space="preserve">). </w:t>
      </w:r>
    </w:p>
    <w:p w14:paraId="0079EED3" w14:textId="67AA0A23" w:rsidR="008F5C3A" w:rsidRDefault="001C3B70" w:rsidP="00882497">
      <w:pPr>
        <w:pStyle w:val="Odstavekseznama"/>
        <w:numPr>
          <w:ilvl w:val="1"/>
          <w:numId w:val="21"/>
        </w:numPr>
      </w:pPr>
      <w:r w:rsidRPr="00882497">
        <w:t>Ponudnik lahko Back</w:t>
      </w:r>
      <w:r w:rsidR="00AA316F">
        <w:t>up</w:t>
      </w:r>
      <w:r w:rsidRPr="00882497">
        <w:t xml:space="preserve"> povezljivost zagotovi tudi preko </w:t>
      </w:r>
      <w:r w:rsidR="00416F72">
        <w:t>l</w:t>
      </w:r>
      <w:r w:rsidRPr="00882497">
        <w:t xml:space="preserve">astne </w:t>
      </w:r>
      <w:r w:rsidR="00416F72">
        <w:t>sekundarne</w:t>
      </w:r>
      <w:r w:rsidRPr="00882497">
        <w:t xml:space="preserve"> povezave. Primarna in sekundarna povezava morata biti izvedeni po različnih trasah in se morata zaključevati v različni </w:t>
      </w:r>
      <w:r w:rsidR="00EF3F9A" w:rsidRPr="00882497">
        <w:t>priključni točki v omrežju</w:t>
      </w:r>
      <w:r w:rsidRPr="00882497">
        <w:t xml:space="preserve"> </w:t>
      </w:r>
      <w:r w:rsidR="00EF3F9A" w:rsidRPr="00882497">
        <w:t>ponudnika</w:t>
      </w:r>
      <w:r w:rsidRPr="00882497">
        <w:t>.</w:t>
      </w:r>
    </w:p>
    <w:p w14:paraId="02D232F6" w14:textId="478D17B9" w:rsidR="00AA316F" w:rsidRPr="00882497" w:rsidRDefault="00AA316F" w:rsidP="00882497">
      <w:pPr>
        <w:pStyle w:val="Odstavekseznama"/>
        <w:numPr>
          <w:ilvl w:val="1"/>
          <w:numId w:val="21"/>
        </w:numPr>
      </w:pPr>
      <w:r>
        <w:t xml:space="preserve">Povezava (backup) se poveže na naročnikovo telefonsko centralo na primarni lokaciji naročnika </w:t>
      </w:r>
      <w:r w:rsidR="00416F72">
        <w:t>preko SIP trunk</w:t>
      </w:r>
      <w:r>
        <w:t>.</w:t>
      </w:r>
    </w:p>
    <w:p w14:paraId="57531C60" w14:textId="5CD8D321" w:rsidR="001F1062" w:rsidRPr="00882497" w:rsidRDefault="008F5C3A" w:rsidP="00882497">
      <w:pPr>
        <w:pStyle w:val="Odstavekseznama"/>
        <w:numPr>
          <w:ilvl w:val="0"/>
          <w:numId w:val="21"/>
        </w:numPr>
      </w:pPr>
      <w:r w:rsidRPr="00882497">
        <w:t xml:space="preserve">Ponudnik zagotovi ustrezno opremo s katero zagotovi ustrezno </w:t>
      </w:r>
      <w:r w:rsidR="00DC74E2" w:rsidRPr="00882497">
        <w:t>povezavo</w:t>
      </w:r>
      <w:r w:rsidRPr="00882497">
        <w:t xml:space="preserve"> in zagotovi aktivacijo </w:t>
      </w:r>
      <w:r w:rsidR="004B21C6">
        <w:t>B</w:t>
      </w:r>
      <w:r w:rsidRPr="00882497">
        <w:t>ack</w:t>
      </w:r>
      <w:r w:rsidR="006444B3">
        <w:t>up</w:t>
      </w:r>
      <w:r w:rsidRPr="00882497">
        <w:t xml:space="preserve"> povezljivosti, </w:t>
      </w:r>
      <w:r w:rsidR="001F1062" w:rsidRPr="00882497">
        <w:t xml:space="preserve">ki </w:t>
      </w:r>
      <w:r w:rsidR="00CC20B9" w:rsidRPr="00882497">
        <w:t>se</w:t>
      </w:r>
      <w:r w:rsidR="001F1062" w:rsidRPr="00882497">
        <w:t xml:space="preserve"> izvede </w:t>
      </w:r>
      <w:r w:rsidRPr="00882497">
        <w:t xml:space="preserve">v primeru izpada primarne povezave </w:t>
      </w:r>
      <w:r w:rsidR="001F1062" w:rsidRPr="00882497">
        <w:t>s preklopom v manj kot 1s</w:t>
      </w:r>
      <w:r w:rsidRPr="00882497">
        <w:t>.</w:t>
      </w:r>
    </w:p>
    <w:p w14:paraId="2A747FCB" w14:textId="45EB0F5F" w:rsidR="001F1062" w:rsidRPr="00882497" w:rsidRDefault="001F1062" w:rsidP="00882497">
      <w:pPr>
        <w:pStyle w:val="Odstavekseznama"/>
        <w:numPr>
          <w:ilvl w:val="0"/>
          <w:numId w:val="21"/>
        </w:numPr>
      </w:pPr>
      <w:r w:rsidRPr="00882497">
        <w:t xml:space="preserve">Obe povezavi morata biti med seboj neodvisni in fizično ločeni (izvedeni morata biti preko ločenih priključnih točk v omrežju ponudnika in po ločeni infrastrukturi); </w:t>
      </w:r>
    </w:p>
    <w:p w14:paraId="65B98753" w14:textId="3DE256BC" w:rsidR="00A713F8" w:rsidRPr="00A713F8" w:rsidRDefault="00A713F8" w:rsidP="00882497">
      <w:pPr>
        <w:pStyle w:val="Odstavekseznama"/>
        <w:numPr>
          <w:ilvl w:val="0"/>
          <w:numId w:val="21"/>
        </w:numPr>
      </w:pPr>
      <w:r w:rsidRPr="00A713F8">
        <w:t xml:space="preserve">v primeru izpada povezave v celoti zaradi napake na kateremkoli delu ponudnikove opreme </w:t>
      </w:r>
      <w:r>
        <w:t xml:space="preserve">oz. zaradi napake na omrežju, </w:t>
      </w:r>
      <w:r w:rsidRPr="00A713F8">
        <w:t xml:space="preserve">mora ponudnik najkasneje v roku pol ure izvesti ročno preusmeritev </w:t>
      </w:r>
      <w:r w:rsidRPr="00882497">
        <w:t>štirih</w:t>
      </w:r>
      <w:r w:rsidRPr="00A713F8">
        <w:t xml:space="preserve"> številk za </w:t>
      </w:r>
      <w:r>
        <w:t xml:space="preserve">nujne klice </w:t>
      </w:r>
      <w:r w:rsidRPr="00A713F8">
        <w:t>na poljubno lokacijo</w:t>
      </w:r>
      <w:r>
        <w:t xml:space="preserve">/številko </w:t>
      </w:r>
      <w:r w:rsidRPr="00A713F8">
        <w:t>naro</w:t>
      </w:r>
      <w:r>
        <w:t>č</w:t>
      </w:r>
      <w:r w:rsidRPr="00A713F8">
        <w:t>nika (po telefonskem klicu</w:t>
      </w:r>
      <w:r w:rsidR="00D740C3">
        <w:t xml:space="preserve">, oddanem </w:t>
      </w:r>
      <w:r w:rsidRPr="00A713F8">
        <w:t>naro</w:t>
      </w:r>
      <w:r>
        <w:t>č</w:t>
      </w:r>
      <w:r w:rsidRPr="00A713F8">
        <w:t>ilu naro</w:t>
      </w:r>
      <w:r>
        <w:t>č</w:t>
      </w:r>
      <w:r w:rsidRPr="00A713F8">
        <w:t>nika). Naro</w:t>
      </w:r>
      <w:r w:rsidR="00D740C3">
        <w:t>č</w:t>
      </w:r>
      <w:r w:rsidRPr="00A713F8">
        <w:t>nik bo omenjeno telefonsko naro</w:t>
      </w:r>
      <w:r w:rsidR="00D740C3">
        <w:t>č</w:t>
      </w:r>
      <w:r w:rsidRPr="00A713F8">
        <w:t>ilo v roku ene ure</w:t>
      </w:r>
      <w:r w:rsidR="00D740C3">
        <w:t xml:space="preserve"> dodatno</w:t>
      </w:r>
      <w:r w:rsidRPr="00A713F8">
        <w:t xml:space="preserve"> potrdil pisno preko e-pošte</w:t>
      </w:r>
      <w:r w:rsidR="00D740C3">
        <w:t>.</w:t>
      </w:r>
    </w:p>
    <w:p w14:paraId="52575E52" w14:textId="5ADBC08B" w:rsidR="001F1062" w:rsidRDefault="001F1062" w:rsidP="00882497">
      <w:pPr>
        <w:pStyle w:val="Odstavekseznama"/>
        <w:numPr>
          <w:ilvl w:val="0"/>
          <w:numId w:val="21"/>
        </w:numPr>
      </w:pPr>
      <w:r>
        <w:t>Karakteristike zahtevane povezave so : jitter ±1</w:t>
      </w:r>
      <w:r w:rsidR="008F5C3A">
        <w:t>5</w:t>
      </w:r>
      <w:r>
        <w:t>ms, zakasnitev &lt;</w:t>
      </w:r>
      <w:r w:rsidR="00574200">
        <w:t>25</w:t>
      </w:r>
      <w:r>
        <w:t>ms,izgub</w:t>
      </w:r>
      <w:r w:rsidR="00A713F8">
        <w:t>a paketov &lt;1% in prepustnost 100</w:t>
      </w:r>
      <w:r>
        <w:t xml:space="preserve"> kbit na sočasen govorni kanal; </w:t>
      </w:r>
    </w:p>
    <w:p w14:paraId="76E7BDA0" w14:textId="6FCF0D2C" w:rsidR="001F1062" w:rsidRDefault="001F1062" w:rsidP="00882497">
      <w:pPr>
        <w:pStyle w:val="Odstavekseznama"/>
        <w:numPr>
          <w:ilvl w:val="0"/>
          <w:numId w:val="21"/>
        </w:numPr>
      </w:pPr>
      <w:r>
        <w:t xml:space="preserve">Številčni prostor naročnika se ne spreminja in se prenaša na zgoraj omenjena dostopa; </w:t>
      </w:r>
    </w:p>
    <w:p w14:paraId="33628AC0" w14:textId="6DAACD1F" w:rsidR="001F1062" w:rsidRDefault="001F1062" w:rsidP="00882497">
      <w:pPr>
        <w:pStyle w:val="Odstavekseznama"/>
        <w:numPr>
          <w:ilvl w:val="0"/>
          <w:numId w:val="21"/>
        </w:numPr>
      </w:pPr>
      <w:r>
        <w:t xml:space="preserve">Strošek vključitve dostopa </w:t>
      </w:r>
      <w:r w:rsidR="00CC20B9">
        <w:t xml:space="preserve">po specifikaciji </w:t>
      </w:r>
      <w:r>
        <w:t xml:space="preserve">je na strani ponudnika; </w:t>
      </w:r>
    </w:p>
    <w:p w14:paraId="6671C9AE" w14:textId="4A5E63AE" w:rsidR="001F1062" w:rsidRDefault="001F1062" w:rsidP="00882497">
      <w:pPr>
        <w:pStyle w:val="Odstavekseznama"/>
        <w:numPr>
          <w:ilvl w:val="0"/>
          <w:numId w:val="21"/>
        </w:numPr>
      </w:pPr>
      <w:r>
        <w:t xml:space="preserve">Konfiguracija dostopov mora biti izvedena </w:t>
      </w:r>
      <w:r w:rsidR="00CC20B9">
        <w:t xml:space="preserve">na način, da bo </w:t>
      </w:r>
      <w:r w:rsidR="00880CFE">
        <w:t xml:space="preserve">v »normalnem stanju« potekal ves promet po </w:t>
      </w:r>
      <w:r w:rsidR="00CC20B9">
        <w:t>primarni</w:t>
      </w:r>
      <w:r w:rsidR="00880CFE">
        <w:t xml:space="preserve"> povezavi</w:t>
      </w:r>
      <w:r>
        <w:t xml:space="preserve">, ob izpadu le tega pa se promet preusmeri na </w:t>
      </w:r>
      <w:r w:rsidR="00CC20B9">
        <w:t>Back</w:t>
      </w:r>
      <w:r w:rsidR="006444B3">
        <w:t>up</w:t>
      </w:r>
      <w:r w:rsidR="00CC20B9">
        <w:t xml:space="preserve"> dostop</w:t>
      </w:r>
      <w:r>
        <w:t xml:space="preserve">; </w:t>
      </w:r>
    </w:p>
    <w:p w14:paraId="359D4BB2" w14:textId="4E4E315E" w:rsidR="001F1062" w:rsidRDefault="001F1062" w:rsidP="00882497">
      <w:pPr>
        <w:pStyle w:val="Odstavekseznama"/>
        <w:numPr>
          <w:ilvl w:val="0"/>
          <w:numId w:val="21"/>
        </w:numPr>
      </w:pPr>
      <w:r>
        <w:t xml:space="preserve">Pri vzpostavitvi in konfiguraciji dostopov mora ponudnik upoštevati vse tehnično sprejemljive predloge naročnika; </w:t>
      </w:r>
    </w:p>
    <w:p w14:paraId="2EC643CF" w14:textId="7B39C2FC" w:rsidR="001F1062" w:rsidRDefault="001F1062" w:rsidP="00882497">
      <w:pPr>
        <w:pStyle w:val="Odstavekseznama"/>
        <w:numPr>
          <w:ilvl w:val="0"/>
          <w:numId w:val="21"/>
        </w:numPr>
      </w:pPr>
      <w:r>
        <w:t xml:space="preserve">Naročnik z izgradnjo morebitnih novih fizičnih povezav do omrežja operaterja ne sme imeti nobenih dodatnih stroškov; </w:t>
      </w:r>
    </w:p>
    <w:p w14:paraId="0724242C" w14:textId="4D0C617A" w:rsidR="001F1062" w:rsidRDefault="001F1062" w:rsidP="00882497">
      <w:pPr>
        <w:pStyle w:val="Odstavekseznama"/>
        <w:numPr>
          <w:ilvl w:val="0"/>
          <w:numId w:val="21"/>
        </w:numPr>
      </w:pPr>
      <w:r>
        <w:t xml:space="preserve">Ponudnik mora imeti veljavno dovoljenje AKOS-a (agencije za komunikacijska omrežja in storitve republike Slovenije) za opravljanje nacionalno javnih dostopnih telefonskih storitev na fiksni lokaciji na podlagi obvestila agencije za pošto in elektronske komunikacije Republike Slovenije </w:t>
      </w:r>
    </w:p>
    <w:p w14:paraId="108C5E27" w14:textId="01ED5BE4" w:rsidR="001F1062" w:rsidRDefault="001F1062" w:rsidP="00882497">
      <w:pPr>
        <w:pStyle w:val="Odstavekseznama"/>
        <w:numPr>
          <w:ilvl w:val="0"/>
          <w:numId w:val="21"/>
        </w:numPr>
      </w:pPr>
      <w:r>
        <w:t>Ponudnik mora omogočati povezljivost z vsemi ostalimi</w:t>
      </w:r>
      <w:r w:rsidR="004B21C6">
        <w:t xml:space="preserve"> javnimi telekomunikacijskimi</w:t>
      </w:r>
      <w:r>
        <w:t xml:space="preserve"> ponudniki v Sloveniji</w:t>
      </w:r>
      <w:r w:rsidR="00880CFE">
        <w:t>, EU in svetu</w:t>
      </w:r>
      <w:r>
        <w:t xml:space="preserve">; </w:t>
      </w:r>
    </w:p>
    <w:p w14:paraId="10E349F8" w14:textId="702A71C2" w:rsidR="005E5360" w:rsidRDefault="005E5360" w:rsidP="00882497">
      <w:pPr>
        <w:pStyle w:val="Odstavekseznama"/>
        <w:numPr>
          <w:ilvl w:val="0"/>
          <w:numId w:val="21"/>
        </w:numPr>
      </w:pPr>
      <w:r>
        <w:t xml:space="preserve">Storitev mora podpirati vsaj ITU-T G.711 μ-law, G.711 A-law in G.722 kodiranje; </w:t>
      </w:r>
    </w:p>
    <w:p w14:paraId="73BF616F" w14:textId="53A05EF9" w:rsidR="001F1062" w:rsidRDefault="001F1062" w:rsidP="00882497">
      <w:pPr>
        <w:pStyle w:val="Odstavekseznama"/>
        <w:numPr>
          <w:ilvl w:val="0"/>
          <w:numId w:val="21"/>
        </w:numPr>
      </w:pPr>
      <w:r>
        <w:t xml:space="preserve">Ponudnik mora zagotoviti delovanje tonskega (DTMF) izbiranja za vse javne telefonske številke; </w:t>
      </w:r>
    </w:p>
    <w:p w14:paraId="67A927D2" w14:textId="271030D8" w:rsidR="005E5360" w:rsidRDefault="005E5360" w:rsidP="00882497">
      <w:pPr>
        <w:pStyle w:val="Odstavekseznama"/>
        <w:numPr>
          <w:ilvl w:val="0"/>
          <w:numId w:val="21"/>
        </w:numPr>
      </w:pPr>
      <w:r>
        <w:t xml:space="preserve">Storitev mora podpirati ITU-T T.38 protokol; </w:t>
      </w:r>
    </w:p>
    <w:p w14:paraId="1009CD66" w14:textId="015B44D8" w:rsidR="001F1062" w:rsidRDefault="001F1062" w:rsidP="00882497">
      <w:pPr>
        <w:pStyle w:val="Odstavekseznama"/>
        <w:numPr>
          <w:ilvl w:val="0"/>
          <w:numId w:val="21"/>
        </w:numPr>
      </w:pPr>
      <w:r>
        <w:t>Ponudnik mora zagotavljati pošiljanje informacije o številki kličočega v vse smeri, tako na povezavah do naročnika kot na povezavah do vse</w:t>
      </w:r>
      <w:r w:rsidR="00F93217">
        <w:t>h drugih ponudnikov telefonije;</w:t>
      </w:r>
    </w:p>
    <w:p w14:paraId="69ACAEA0" w14:textId="138207D1" w:rsidR="00F93217" w:rsidRDefault="00F93217" w:rsidP="00882497">
      <w:pPr>
        <w:pStyle w:val="Odstavekseznama"/>
        <w:numPr>
          <w:ilvl w:val="0"/>
          <w:numId w:val="21"/>
        </w:numPr>
      </w:pPr>
      <w:r>
        <w:t>Ponudnik mora zagotavljati  storitve CFNR – omogočeno mora biti preusmerjanje klica s prikazom številke klicočega na končnem terminalu</w:t>
      </w:r>
      <w:r w:rsidR="00061A3E">
        <w:t xml:space="preserve"> (npr. GSM)</w:t>
      </w:r>
      <w:r>
        <w:t xml:space="preserve">; </w:t>
      </w:r>
    </w:p>
    <w:p w14:paraId="265190F5" w14:textId="78A6EFAA" w:rsidR="00F93217" w:rsidRDefault="00F93217" w:rsidP="00882497">
      <w:pPr>
        <w:pStyle w:val="Odstavekseznama"/>
        <w:numPr>
          <w:ilvl w:val="0"/>
          <w:numId w:val="21"/>
        </w:numPr>
      </w:pPr>
      <w:r>
        <w:lastRenderedPageBreak/>
        <w:t xml:space="preserve">Ponudnik mora podpirati  storitev CLIR – možnost izvajanja klicev z vključeno omejitvijo identifikacije klicočega; </w:t>
      </w:r>
    </w:p>
    <w:p w14:paraId="61C77F33" w14:textId="226C9FB2" w:rsidR="001F1062" w:rsidRDefault="001F1062" w:rsidP="00882497">
      <w:pPr>
        <w:pStyle w:val="Odstavekseznama"/>
        <w:numPr>
          <w:ilvl w:val="0"/>
          <w:numId w:val="21"/>
        </w:numPr>
      </w:pPr>
      <w:r>
        <w:t xml:space="preserve">Ponudnik mora, v kolikor bi spremembe v nastavitvah opreme in storitev zahtevale spremembe nastavitev naročnikove opreme, le-te pravočasno uskladiti z </w:t>
      </w:r>
      <w:r w:rsidR="00FE1A6A">
        <w:t>naročnikom</w:t>
      </w:r>
      <w:r w:rsidR="00880CFE">
        <w:t>;</w:t>
      </w:r>
    </w:p>
    <w:p w14:paraId="1F7D753F" w14:textId="438AFE15" w:rsidR="001F1062" w:rsidRDefault="001F1062" w:rsidP="00882497">
      <w:pPr>
        <w:pStyle w:val="Odstavekseznama"/>
        <w:numPr>
          <w:ilvl w:val="0"/>
          <w:numId w:val="21"/>
        </w:numPr>
      </w:pPr>
      <w:r>
        <w:t>Ponudnik mora zagotoviti tarifiranje po posameznih telefonskih številkah naročnika. Podatke o tarifiranju naj bodo na voljo v ASCII (CSV; en klic — ena vrstica) obliki in posredovani po elektronski pošti ali dosegljivi preko spletne aplikacije ponudnika. Naročnik lahko zahteva izpis porabe posameznih številk v elektronski obliki za obdobje, ki ga določi naročnik</w:t>
      </w:r>
      <w:r w:rsidR="00882497">
        <w:t>.</w:t>
      </w:r>
    </w:p>
    <w:p w14:paraId="4CDE14E1" w14:textId="2535AE5B" w:rsidR="00276812" w:rsidRPr="00FC30BB" w:rsidRDefault="00276812" w:rsidP="00882497">
      <w:pPr>
        <w:pStyle w:val="Naslov3"/>
      </w:pPr>
      <w:r w:rsidRPr="00FC30BB">
        <w:t xml:space="preserve">Strežnik IP telefonske sistema </w:t>
      </w:r>
      <w:r w:rsidR="00404C38">
        <w:t>ponudnika</w:t>
      </w:r>
    </w:p>
    <w:p w14:paraId="33259558" w14:textId="322A2116" w:rsidR="00EA657B" w:rsidRPr="00D740C3" w:rsidRDefault="00EA657B" w:rsidP="00882497">
      <w:r w:rsidRPr="00D740C3">
        <w:t>Zahteve</w:t>
      </w:r>
      <w:r w:rsidR="00404C38">
        <w:t xml:space="preserve"> ponudnikovega telefonskega sistema za zagotavljanje neprekinjenega delovanja storitev fiksne telefonije </w:t>
      </w:r>
      <w:r w:rsidR="00404C38">
        <w:rPr>
          <w:b/>
          <w:bCs/>
        </w:rPr>
        <w:t>izvajalcu kritične infrastrukture</w:t>
      </w:r>
      <w:r w:rsidR="00404C38">
        <w:t xml:space="preserve"> (bolnišnici)</w:t>
      </w:r>
      <w:r w:rsidRPr="00D740C3">
        <w:t>:</w:t>
      </w:r>
    </w:p>
    <w:p w14:paraId="455B29CA" w14:textId="3BBEE38D" w:rsidR="00276812" w:rsidRPr="00D740C3" w:rsidRDefault="00276812" w:rsidP="00882497">
      <w:pPr>
        <w:pStyle w:val="Odstavekseznama"/>
        <w:numPr>
          <w:ilvl w:val="0"/>
          <w:numId w:val="22"/>
        </w:numPr>
      </w:pPr>
      <w:r w:rsidRPr="00D740C3">
        <w:t xml:space="preserve">Ponudnik zagotavlja delovanje </w:t>
      </w:r>
      <w:r w:rsidR="00404C38">
        <w:t>lastnega sistema</w:t>
      </w:r>
      <w:r w:rsidR="004B21C6">
        <w:t xml:space="preserve"> (povezave)</w:t>
      </w:r>
      <w:r w:rsidRPr="00D740C3">
        <w:t xml:space="preserve"> 99,5% časa oz. zagotavlja </w:t>
      </w:r>
      <w:r w:rsidR="004B21C6">
        <w:t>redundantni jedrni telekomunikacijski sistem</w:t>
      </w:r>
      <w:r w:rsidRPr="00D740C3">
        <w:t xml:space="preserve"> na sekundarni lokaciji, ki ni bližja od </w:t>
      </w:r>
      <w:r w:rsidR="00A713F8" w:rsidRPr="00D740C3">
        <w:t>2</w:t>
      </w:r>
      <w:r w:rsidRPr="00D740C3">
        <w:t>0</w:t>
      </w:r>
      <w:r w:rsidR="00EA657B" w:rsidRPr="00D740C3">
        <w:t xml:space="preserve"> </w:t>
      </w:r>
      <w:r w:rsidRPr="00D740C3">
        <w:t>km od primarne lokacije</w:t>
      </w:r>
      <w:r w:rsidR="00EA657B" w:rsidRPr="00D740C3">
        <w:t>, hkrati pa morata lokaciji biti na različnih tektonskih prelomnicah</w:t>
      </w:r>
      <w:r w:rsidR="00C15E75" w:rsidRPr="00D740C3">
        <w:t xml:space="preserve"> (glej Strukturno - tektonska karto Slovenije; izdajatelj Geološki zavod Slovenije)</w:t>
      </w:r>
      <w:r w:rsidRPr="00D740C3">
        <w:t>.</w:t>
      </w:r>
    </w:p>
    <w:p w14:paraId="71F085D2" w14:textId="46F0D36C" w:rsidR="00404C38" w:rsidRPr="00D740C3" w:rsidRDefault="00404C38" w:rsidP="00882497">
      <w:pPr>
        <w:pStyle w:val="Odstavekseznama"/>
        <w:numPr>
          <w:ilvl w:val="0"/>
          <w:numId w:val="22"/>
        </w:numPr>
      </w:pPr>
      <w:r>
        <w:t>Razpoložljivost ponudnikovega telefonskega sistema je neodvisna od naročnikove telefonske centrale oz. se izpadi naročnikove telefonske centrale, na katere ponudnik ne more vplivati, ne upoštevajo pri preverjanju ustrezne zagotovljene visoke razpoložljivosti storitve.</w:t>
      </w:r>
    </w:p>
    <w:p w14:paraId="0A9D543C" w14:textId="6A23BCB4" w:rsidR="00276812" w:rsidRPr="008E0DC2" w:rsidRDefault="00276812" w:rsidP="00882497">
      <w:r w:rsidRPr="00D740C3">
        <w:t xml:space="preserve">Ponudnik izpolnjevanje </w:t>
      </w:r>
      <w:r w:rsidR="00EF3F9A">
        <w:t xml:space="preserve">tehničnih </w:t>
      </w:r>
      <w:r w:rsidRPr="00D740C3">
        <w:t xml:space="preserve">zahtev potrdi </w:t>
      </w:r>
      <w:r w:rsidRPr="00D740C3">
        <w:rPr>
          <w:b/>
        </w:rPr>
        <w:t>z lastno izjavo s prilogo</w:t>
      </w:r>
      <w:r w:rsidRPr="00D740C3">
        <w:t xml:space="preserve"> – grafični in tekstovni opis tehnične rešitve</w:t>
      </w:r>
      <w:r w:rsidR="00A713F8" w:rsidRPr="00D740C3">
        <w:t xml:space="preserve"> </w:t>
      </w:r>
      <w:r w:rsidRPr="00D740C3">
        <w:t xml:space="preserve">iz katere bo razvidna skladnost izpolnjevanja zahtev </w:t>
      </w:r>
      <w:r w:rsidR="005E5360" w:rsidRPr="00D740C3">
        <w:t>in opis izvedbe povezljivosti od priključne točke ponudnika do lokacije naročnika</w:t>
      </w:r>
      <w:r w:rsidR="00EF3F9A">
        <w:t>. V primeru da nadomestno povezavo ponudnik zagotovi v celoti preko lastnega omrežja ponudnik priloži sliko obeh tras iz katere bo razvidno izpolnjevanje zahtev</w:t>
      </w:r>
      <w:r w:rsidR="005E5360" w:rsidRPr="00D740C3">
        <w:t xml:space="preserve"> </w:t>
      </w:r>
      <w:r w:rsidRPr="00D740C3">
        <w:t>(v primeru, da ponudnik navedenega ne zagotavlja, se ponudba izloči kot nedopustna).</w:t>
      </w:r>
    </w:p>
    <w:p w14:paraId="7AF873B8" w14:textId="704993B6" w:rsidR="00EE7E2D" w:rsidRPr="00882497" w:rsidRDefault="00EE7E2D" w:rsidP="00882497">
      <w:pPr>
        <w:pStyle w:val="Naslov3"/>
      </w:pPr>
      <w:r w:rsidRPr="00882497">
        <w:t xml:space="preserve">Količine storitev in opreme </w:t>
      </w:r>
    </w:p>
    <w:p w14:paraId="35B9A6FE" w14:textId="59B330B5" w:rsidR="00721E2D" w:rsidRPr="00FC30BB" w:rsidRDefault="00EE7E2D" w:rsidP="00882497">
      <w:pPr>
        <w:rPr>
          <w:i/>
        </w:rPr>
      </w:pPr>
      <w:r w:rsidRPr="00FC30BB">
        <w:t>V nadaljevanju se nahajajo količine zahtevanih storitev in opreme</w:t>
      </w:r>
      <w:r w:rsidR="004409B7" w:rsidRPr="00FC30BB">
        <w:t>, za katere ponudnik poda cene v ponudbenem predračunu</w:t>
      </w:r>
      <w:r w:rsidRPr="00FC30BB">
        <w:t>:</w:t>
      </w:r>
      <w:r w:rsidR="00721E2D" w:rsidRPr="00FC30BB">
        <w:rPr>
          <w:i/>
        </w:rPr>
        <w:t xml:space="preserve"> </w:t>
      </w:r>
      <w:r w:rsidR="004409B7" w:rsidRPr="00FC30BB">
        <w:rPr>
          <w:i/>
        </w:rPr>
        <w:t xml:space="preserve"> </w:t>
      </w:r>
    </w:p>
    <w:tbl>
      <w:tblPr>
        <w:tblStyle w:val="TableGrid"/>
        <w:tblW w:w="6777" w:type="dxa"/>
        <w:jc w:val="center"/>
        <w:tblInd w:w="0" w:type="dxa"/>
        <w:tblCellMar>
          <w:top w:w="9" w:type="dxa"/>
          <w:left w:w="106" w:type="dxa"/>
          <w:right w:w="115" w:type="dxa"/>
        </w:tblCellMar>
        <w:tblLook w:val="04A0" w:firstRow="1" w:lastRow="0" w:firstColumn="1" w:lastColumn="0" w:noHBand="0" w:noVBand="1"/>
      </w:tblPr>
      <w:tblGrid>
        <w:gridCol w:w="6777"/>
      </w:tblGrid>
      <w:tr w:rsidR="00404C38" w:rsidRPr="00FC30BB" w14:paraId="0F70F9CD" w14:textId="77777777" w:rsidTr="00404C38">
        <w:trPr>
          <w:trHeight w:val="619"/>
          <w:jc w:val="center"/>
        </w:trPr>
        <w:tc>
          <w:tcPr>
            <w:tcW w:w="6777" w:type="dxa"/>
            <w:tcBorders>
              <w:top w:val="single" w:sz="4" w:space="0" w:color="000000"/>
              <w:left w:val="single" w:sz="4" w:space="0" w:color="000000"/>
              <w:bottom w:val="single" w:sz="4" w:space="0" w:color="000000"/>
              <w:right w:val="single" w:sz="4" w:space="0" w:color="000000"/>
            </w:tcBorders>
            <w:vAlign w:val="center"/>
          </w:tcPr>
          <w:p w14:paraId="396C57D3" w14:textId="77777777" w:rsidR="00404C38" w:rsidRPr="00FC30BB" w:rsidRDefault="00404C38" w:rsidP="00882497">
            <w:r w:rsidRPr="00FC30BB">
              <w:rPr>
                <w:b/>
              </w:rPr>
              <w:t xml:space="preserve">STORITVE IP TELEFONIJE </w:t>
            </w:r>
          </w:p>
        </w:tc>
      </w:tr>
      <w:tr w:rsidR="00404C38" w:rsidRPr="00FC30BB" w14:paraId="5AC271E3" w14:textId="77777777" w:rsidTr="00404C38">
        <w:trPr>
          <w:trHeight w:val="430"/>
          <w:jc w:val="center"/>
        </w:trPr>
        <w:tc>
          <w:tcPr>
            <w:tcW w:w="6777" w:type="dxa"/>
            <w:tcBorders>
              <w:top w:val="single" w:sz="4" w:space="0" w:color="000000"/>
              <w:left w:val="single" w:sz="4" w:space="0" w:color="000000"/>
              <w:bottom w:val="single" w:sz="4" w:space="0" w:color="000000"/>
              <w:right w:val="single" w:sz="4" w:space="0" w:color="000000"/>
            </w:tcBorders>
          </w:tcPr>
          <w:p w14:paraId="13793A2B" w14:textId="3D66369F" w:rsidR="00404C38" w:rsidRPr="00FC30BB" w:rsidRDefault="00404C38" w:rsidP="00882497">
            <w:r w:rsidRPr="00FC30BB">
              <w:t xml:space="preserve">Vzpostavitev </w:t>
            </w:r>
            <w:r>
              <w:t>povezljivosti (primarno, Back</w:t>
            </w:r>
            <w:r w:rsidR="006444B3">
              <w:t>up</w:t>
            </w:r>
            <w:r>
              <w:t>)</w:t>
            </w:r>
            <w:r w:rsidRPr="00FC30BB">
              <w:t xml:space="preserve"> po specifikaciji </w:t>
            </w:r>
          </w:p>
        </w:tc>
      </w:tr>
      <w:tr w:rsidR="00404C38" w:rsidRPr="00FC30BB" w14:paraId="5EE18213" w14:textId="77777777" w:rsidTr="00404C38">
        <w:trPr>
          <w:trHeight w:val="430"/>
          <w:jc w:val="center"/>
        </w:trPr>
        <w:tc>
          <w:tcPr>
            <w:tcW w:w="6777" w:type="dxa"/>
            <w:tcBorders>
              <w:top w:val="single" w:sz="4" w:space="0" w:color="000000"/>
              <w:left w:val="single" w:sz="4" w:space="0" w:color="000000"/>
              <w:bottom w:val="single" w:sz="4" w:space="0" w:color="000000"/>
              <w:right w:val="single" w:sz="4" w:space="0" w:color="000000"/>
            </w:tcBorders>
          </w:tcPr>
          <w:p w14:paraId="252C9870" w14:textId="1CA9AE4F" w:rsidR="00404C38" w:rsidRPr="00FC30BB" w:rsidRDefault="00404C38" w:rsidP="00882497">
            <w:r w:rsidRPr="00FC30BB">
              <w:t>Prenos številčnega prostora - set</w:t>
            </w:r>
          </w:p>
        </w:tc>
      </w:tr>
      <w:tr w:rsidR="00404C38" w:rsidRPr="00FC30BB" w14:paraId="59B9CAED" w14:textId="77777777" w:rsidTr="00404C38">
        <w:trPr>
          <w:trHeight w:val="430"/>
          <w:jc w:val="center"/>
        </w:trPr>
        <w:tc>
          <w:tcPr>
            <w:tcW w:w="6777" w:type="dxa"/>
            <w:tcBorders>
              <w:top w:val="single" w:sz="4" w:space="0" w:color="000000"/>
              <w:left w:val="single" w:sz="4" w:space="0" w:color="000000"/>
              <w:bottom w:val="single" w:sz="4" w:space="0" w:color="000000"/>
              <w:right w:val="single" w:sz="4" w:space="0" w:color="000000"/>
            </w:tcBorders>
          </w:tcPr>
          <w:p w14:paraId="7CFC92C7" w14:textId="0D665600" w:rsidR="00404C38" w:rsidRPr="00FC30BB" w:rsidRDefault="00404C38" w:rsidP="00882497">
            <w:r>
              <w:t>Naročnina, Povezljivost primarna (vsaj 6</w:t>
            </w:r>
            <w:r w:rsidRPr="00FC30BB">
              <w:t>0 govornih kanalov)</w:t>
            </w:r>
            <w:r>
              <w:t xml:space="preserve">, </w:t>
            </w:r>
            <w:r w:rsidR="0019791B">
              <w:t>SIP trunk</w:t>
            </w:r>
          </w:p>
        </w:tc>
      </w:tr>
      <w:tr w:rsidR="00404C38" w:rsidRPr="00FC30BB" w14:paraId="320F791B" w14:textId="77777777" w:rsidTr="00404C38">
        <w:trPr>
          <w:trHeight w:val="430"/>
          <w:jc w:val="center"/>
        </w:trPr>
        <w:tc>
          <w:tcPr>
            <w:tcW w:w="6777" w:type="dxa"/>
            <w:tcBorders>
              <w:top w:val="single" w:sz="4" w:space="0" w:color="000000"/>
              <w:left w:val="single" w:sz="4" w:space="0" w:color="000000"/>
              <w:bottom w:val="single" w:sz="4" w:space="0" w:color="000000"/>
              <w:right w:val="single" w:sz="4" w:space="0" w:color="000000"/>
            </w:tcBorders>
          </w:tcPr>
          <w:p w14:paraId="193AC2DC" w14:textId="042EFDEA" w:rsidR="00404C38" w:rsidRDefault="00404C38" w:rsidP="00882497">
            <w:r w:rsidRPr="00DC74E2">
              <w:t>Naročnina</w:t>
            </w:r>
            <w:r>
              <w:t>,</w:t>
            </w:r>
            <w:r w:rsidRPr="00DC74E2">
              <w:t xml:space="preserve"> Povezljivost Back</w:t>
            </w:r>
            <w:r w:rsidR="006444B3">
              <w:t>up</w:t>
            </w:r>
            <w:r w:rsidRPr="00DC74E2">
              <w:t xml:space="preserve"> (vsaj 30 govornih kanalov), </w:t>
            </w:r>
            <w:r w:rsidR="0019791B">
              <w:t>SIP trunk</w:t>
            </w:r>
          </w:p>
        </w:tc>
      </w:tr>
    </w:tbl>
    <w:p w14:paraId="1856D4B3" w14:textId="50766E73" w:rsidR="008E0DC2" w:rsidRPr="008E0DC2" w:rsidRDefault="00CE74A5" w:rsidP="00401F21">
      <w:pPr>
        <w:pStyle w:val="Naslov2"/>
      </w:pPr>
      <w:r w:rsidRPr="00FC30BB">
        <w:t xml:space="preserve">IZVAJANJE TEHNIČNE PODPORE IN DEŽURNE SLUŽBE  </w:t>
      </w:r>
    </w:p>
    <w:p w14:paraId="596C156E" w14:textId="392C7FA1" w:rsidR="00CE74A5" w:rsidRPr="00882497" w:rsidRDefault="00CE74A5" w:rsidP="00882497">
      <w:pPr>
        <w:pStyle w:val="Naslov3"/>
        <w:numPr>
          <w:ilvl w:val="0"/>
          <w:numId w:val="19"/>
        </w:numPr>
      </w:pPr>
      <w:r w:rsidRPr="00882497">
        <w:t xml:space="preserve">Pogoji za izvajanje dežurne službe za podporo in odpravo napak </w:t>
      </w:r>
    </w:p>
    <w:p w14:paraId="7B565A99" w14:textId="70DCDBF2" w:rsidR="00D92F49" w:rsidRPr="00FC30BB" w:rsidRDefault="00D92F49" w:rsidP="00882497">
      <w:r w:rsidRPr="00FC30BB">
        <w:t xml:space="preserve">Dežurna služba za odpravo napak in podporo ponudnika za storitve telefonije mora biti ob podpisu pogodbe in ves čas trajanja pogodbe organizirana neprekinjeno, to je 24 ur dnevno in vse dni v letu (24/7/365), hkrati pa mora ponudnih jamčiti, da bo imel rezervne dele na zalogi v skladišču v Sloveniji.  </w:t>
      </w:r>
    </w:p>
    <w:p w14:paraId="1DA8DC1C" w14:textId="77777777" w:rsidR="00100857" w:rsidRDefault="00D92F49" w:rsidP="00882497">
      <w:r w:rsidRPr="00FC30BB">
        <w:lastRenderedPageBreak/>
        <w:t>Ponudnik ponuja eno, za naročnika ločeno enotno vstopno točko  za prijavo napak s strani pooblaščenih oseb naročnika za vse storitve (telefonsko ali e-mail; ne splošne številke kot za vse uporabnike), ki omogoča prioritetno prijavo in obravnavo napak brez čakalne vrste (zahtevan je 30 sek</w:t>
      </w:r>
      <w:r w:rsidR="00436A7C">
        <w:t>undni odziv v  95% vseh klicev).</w:t>
      </w:r>
    </w:p>
    <w:p w14:paraId="06FB727F" w14:textId="0F1D3C95" w:rsidR="00D92F49" w:rsidRPr="00FC30BB" w:rsidRDefault="00436A7C" w:rsidP="00882497">
      <w:r>
        <w:t>N</w:t>
      </w:r>
      <w:r w:rsidR="00D92F49" w:rsidRPr="00FC30BB">
        <w:t xml:space="preserve">aročnik </w:t>
      </w:r>
      <w:r w:rsidR="00100857">
        <w:t xml:space="preserve">zahteva, da </w:t>
      </w:r>
      <w:r w:rsidR="00DA1666">
        <w:t xml:space="preserve">ponudnik odpravi vse prijavljene in zavedene napake v pogodbenih rokih, kot definirano v SLA parametrih. V nasprotnem primeru se </w:t>
      </w:r>
      <w:r w:rsidR="00D92F49" w:rsidRPr="00FC30BB">
        <w:t xml:space="preserve">ponudba izloči kot nedopustna. Ponudnik navedeno izkaže z </w:t>
      </w:r>
      <w:r w:rsidR="00D92F49" w:rsidRPr="00FC30BB">
        <w:rPr>
          <w:b/>
        </w:rPr>
        <w:t>lastno izjavo</w:t>
      </w:r>
      <w:r w:rsidR="00D92F49" w:rsidRPr="00FC30BB">
        <w:t xml:space="preserve"> </w:t>
      </w:r>
      <w:r w:rsidR="00D92F49" w:rsidRPr="00FC30BB">
        <w:rPr>
          <w:b/>
        </w:rPr>
        <w:t>s prilogo - evidenco doseganja odzivnih časov za obdobje vsaj 30 dni pred objavo tega naročila</w:t>
      </w:r>
      <w:r w:rsidR="00DA1666">
        <w:rPr>
          <w:b/>
        </w:rPr>
        <w:t xml:space="preserve"> (lahko anonimizirani podatki)</w:t>
      </w:r>
      <w:r w:rsidR="00D92F49" w:rsidRPr="00FC30BB">
        <w:t>.</w:t>
      </w:r>
    </w:p>
    <w:p w14:paraId="56ECF640" w14:textId="77777777" w:rsidR="00D92F49" w:rsidRPr="00FC30BB" w:rsidRDefault="00D92F49" w:rsidP="00882497">
      <w:pPr>
        <w:pStyle w:val="Naslov3"/>
      </w:pPr>
      <w:r w:rsidRPr="00FC30BB">
        <w:t xml:space="preserve">Parametri odprave napak  - SLA </w:t>
      </w:r>
    </w:p>
    <w:p w14:paraId="5BAFDED3" w14:textId="77777777" w:rsidR="00D92F49" w:rsidRPr="00FC30BB" w:rsidRDefault="00D92F49" w:rsidP="00882497">
      <w:r w:rsidRPr="00FC30BB">
        <w:t>Izvajalec zagotavlja reševanje in odpravo napak v odvisnosti od teže napake, skladno z zahtevami v spodnji tabeli.</w:t>
      </w:r>
    </w:p>
    <w:p w14:paraId="05041BDF" w14:textId="77777777" w:rsidR="00D92F49" w:rsidRPr="00FC30BB" w:rsidRDefault="00D92F49" w:rsidP="00882497">
      <w:r w:rsidRPr="00FC30BB">
        <w:t xml:space="preserve">Napake se razvrstijo v enega izmed štirih razredov, kot sledi: </w:t>
      </w:r>
    </w:p>
    <w:p w14:paraId="09ADFDFA" w14:textId="7CB6023B" w:rsidR="00D92F49" w:rsidRPr="00FC30BB" w:rsidRDefault="00D92F49" w:rsidP="00882497">
      <w:r w:rsidRPr="00880CFE">
        <w:rPr>
          <w:b/>
          <w:i/>
        </w:rPr>
        <w:t>Lažja napaka</w:t>
      </w:r>
      <w:r w:rsidRPr="00FC30BB">
        <w:rPr>
          <w:i/>
        </w:rPr>
        <w:t>:</w:t>
      </w:r>
      <w:r w:rsidRPr="00FC30BB">
        <w:t xml:space="preserve"> omejena na posameznega uporabnika, uporabniku ne dela določena     funkcionalnost, slabša kvaliteta zvoka,</w:t>
      </w:r>
      <w:r w:rsidR="00061A3E">
        <w:t xml:space="preserve"> …</w:t>
      </w:r>
      <w:r w:rsidRPr="00FC30BB">
        <w:t xml:space="preserve"> </w:t>
      </w:r>
      <w:r w:rsidR="00061A3E">
        <w:t xml:space="preserve"> - </w:t>
      </w:r>
      <w:r w:rsidRPr="00FC30BB">
        <w:t xml:space="preserve">klici navzven ali navznoter so mogoči. </w:t>
      </w:r>
    </w:p>
    <w:p w14:paraId="72F509A1" w14:textId="0F0E45D9" w:rsidR="00D92F49" w:rsidRPr="00FC30BB" w:rsidRDefault="00D92F49" w:rsidP="00882497">
      <w:r w:rsidRPr="00880CFE">
        <w:rPr>
          <w:b/>
          <w:i/>
        </w:rPr>
        <w:t>Običajna napaka</w:t>
      </w:r>
      <w:r w:rsidRPr="00FC30BB">
        <w:rPr>
          <w:i/>
        </w:rPr>
        <w:t>:</w:t>
      </w:r>
      <w:r w:rsidRPr="00FC30BB">
        <w:t xml:space="preserve"> Prizadetih je del uporabnikov na lokaciji. Izvajanje klicev ni mogoče. </w:t>
      </w:r>
    </w:p>
    <w:p w14:paraId="3D7F4CF7" w14:textId="6176A56C" w:rsidR="00D92F49" w:rsidRPr="00FC30BB" w:rsidRDefault="00D92F49" w:rsidP="00882497">
      <w:r w:rsidRPr="00880CFE">
        <w:rPr>
          <w:b/>
          <w:i/>
        </w:rPr>
        <w:t>Težja napaka</w:t>
      </w:r>
      <w:r w:rsidRPr="00FC30BB">
        <w:rPr>
          <w:i/>
        </w:rPr>
        <w:t>:</w:t>
      </w:r>
      <w:r w:rsidRPr="00FC30BB">
        <w:t xml:space="preserve"> Izpade storitev za več kot 30 uporabnikov</w:t>
      </w:r>
      <w:r w:rsidR="00880CFE">
        <w:t xml:space="preserve"> oz. se delno zmanjša prepustnost sistema</w:t>
      </w:r>
      <w:r w:rsidRPr="00FC30BB">
        <w:t xml:space="preserve">. </w:t>
      </w:r>
    </w:p>
    <w:p w14:paraId="57B873B9" w14:textId="780B24FF" w:rsidR="00D92F49" w:rsidRDefault="00D92F49" w:rsidP="00882497">
      <w:r w:rsidRPr="00880CFE">
        <w:rPr>
          <w:b/>
          <w:i/>
        </w:rPr>
        <w:t>Kritična napaka</w:t>
      </w:r>
      <w:r w:rsidRPr="00FC30BB">
        <w:rPr>
          <w:i/>
        </w:rPr>
        <w:t>:</w:t>
      </w:r>
      <w:r w:rsidRPr="00FC30BB">
        <w:t xml:space="preserve"> Izpade </w:t>
      </w:r>
      <w:r w:rsidR="00E9317F">
        <w:t>storitev v celoti.</w:t>
      </w:r>
    </w:p>
    <w:tbl>
      <w:tblPr>
        <w:tblStyle w:val="Tabelamrea"/>
        <w:tblW w:w="0" w:type="auto"/>
        <w:tblLook w:val="04A0" w:firstRow="1" w:lastRow="0" w:firstColumn="1" w:lastColumn="0" w:noHBand="0" w:noVBand="1"/>
      </w:tblPr>
      <w:tblGrid>
        <w:gridCol w:w="2265"/>
        <w:gridCol w:w="2265"/>
        <w:gridCol w:w="2266"/>
        <w:gridCol w:w="2266"/>
      </w:tblGrid>
      <w:tr w:rsidR="00915C85" w:rsidRPr="00FC30BB" w14:paraId="2024FB75" w14:textId="77777777" w:rsidTr="0075550A">
        <w:tc>
          <w:tcPr>
            <w:tcW w:w="2265" w:type="dxa"/>
          </w:tcPr>
          <w:p w14:paraId="5BE68709" w14:textId="77777777" w:rsidR="00D92F49" w:rsidRPr="00FC30BB" w:rsidRDefault="00D92F49" w:rsidP="0075550A">
            <w:pPr>
              <w:rPr>
                <w:rFonts w:ascii="Times New Roman" w:hAnsi="Times New Roman" w:cs="Times New Roman"/>
                <w:sz w:val="24"/>
                <w:szCs w:val="24"/>
              </w:rPr>
            </w:pPr>
            <w:r w:rsidRPr="00FC30BB">
              <w:rPr>
                <w:rFonts w:ascii="Times New Roman" w:hAnsi="Times New Roman" w:cs="Times New Roman"/>
                <w:sz w:val="24"/>
                <w:szCs w:val="24"/>
              </w:rPr>
              <w:t xml:space="preserve"> Tip napake</w:t>
            </w:r>
          </w:p>
        </w:tc>
        <w:tc>
          <w:tcPr>
            <w:tcW w:w="2265" w:type="dxa"/>
          </w:tcPr>
          <w:p w14:paraId="35D73BA3" w14:textId="77777777" w:rsidR="00D92F49" w:rsidRPr="00FC30BB" w:rsidRDefault="00D92F49" w:rsidP="0075550A">
            <w:pPr>
              <w:rPr>
                <w:rFonts w:ascii="Times New Roman" w:hAnsi="Times New Roman" w:cs="Times New Roman"/>
                <w:sz w:val="24"/>
                <w:szCs w:val="24"/>
              </w:rPr>
            </w:pPr>
            <w:r w:rsidRPr="00FC30BB">
              <w:rPr>
                <w:rFonts w:ascii="Times New Roman" w:hAnsi="Times New Roman" w:cs="Times New Roman"/>
                <w:sz w:val="24"/>
                <w:szCs w:val="24"/>
              </w:rPr>
              <w:t>Čas prijave *</w:t>
            </w:r>
          </w:p>
        </w:tc>
        <w:tc>
          <w:tcPr>
            <w:tcW w:w="2266" w:type="dxa"/>
          </w:tcPr>
          <w:p w14:paraId="1D17AE1D" w14:textId="77777777" w:rsidR="00D92F49" w:rsidRPr="00FC30BB" w:rsidRDefault="00D92F49" w:rsidP="0075550A">
            <w:pPr>
              <w:rPr>
                <w:rFonts w:ascii="Times New Roman" w:hAnsi="Times New Roman" w:cs="Times New Roman"/>
                <w:sz w:val="24"/>
                <w:szCs w:val="24"/>
              </w:rPr>
            </w:pPr>
            <w:r w:rsidRPr="00FC30BB">
              <w:rPr>
                <w:rFonts w:ascii="Times New Roman" w:hAnsi="Times New Roman" w:cs="Times New Roman"/>
                <w:sz w:val="24"/>
                <w:szCs w:val="24"/>
              </w:rPr>
              <w:t xml:space="preserve">Čas za pričetek reševanja napake </w:t>
            </w:r>
          </w:p>
        </w:tc>
        <w:tc>
          <w:tcPr>
            <w:tcW w:w="2266" w:type="dxa"/>
          </w:tcPr>
          <w:p w14:paraId="307F5678" w14:textId="77777777" w:rsidR="00D92F49" w:rsidRPr="00FC30BB" w:rsidRDefault="00D92F49" w:rsidP="0075550A">
            <w:pPr>
              <w:rPr>
                <w:rFonts w:ascii="Times New Roman" w:hAnsi="Times New Roman" w:cs="Times New Roman"/>
                <w:sz w:val="24"/>
                <w:szCs w:val="24"/>
              </w:rPr>
            </w:pPr>
            <w:r w:rsidRPr="00FC30BB">
              <w:rPr>
                <w:rFonts w:ascii="Times New Roman" w:hAnsi="Times New Roman" w:cs="Times New Roman"/>
                <w:sz w:val="24"/>
                <w:szCs w:val="24"/>
              </w:rPr>
              <w:t>Predviden čas odprave napake</w:t>
            </w:r>
          </w:p>
        </w:tc>
      </w:tr>
      <w:tr w:rsidR="00915C85" w:rsidRPr="00FC30BB" w14:paraId="3E92D4B5" w14:textId="77777777" w:rsidTr="0075550A">
        <w:tc>
          <w:tcPr>
            <w:tcW w:w="2265" w:type="dxa"/>
          </w:tcPr>
          <w:p w14:paraId="45CF8461" w14:textId="77777777" w:rsidR="00D92F49" w:rsidRPr="00FC30BB" w:rsidRDefault="00D92F49" w:rsidP="0075550A">
            <w:pPr>
              <w:rPr>
                <w:rFonts w:ascii="Times New Roman" w:hAnsi="Times New Roman" w:cs="Times New Roman"/>
                <w:sz w:val="24"/>
                <w:szCs w:val="24"/>
              </w:rPr>
            </w:pPr>
            <w:r w:rsidRPr="00FC30BB">
              <w:rPr>
                <w:rFonts w:ascii="Times New Roman" w:hAnsi="Times New Roman" w:cs="Times New Roman"/>
                <w:sz w:val="24"/>
                <w:szCs w:val="24"/>
              </w:rPr>
              <w:t>Lažja</w:t>
            </w:r>
          </w:p>
        </w:tc>
        <w:tc>
          <w:tcPr>
            <w:tcW w:w="2265" w:type="dxa"/>
          </w:tcPr>
          <w:p w14:paraId="45166504" w14:textId="77777777" w:rsidR="00D92F49" w:rsidRPr="00FC30BB" w:rsidRDefault="00D92F49" w:rsidP="0075550A">
            <w:pPr>
              <w:rPr>
                <w:rFonts w:ascii="Times New Roman" w:hAnsi="Times New Roman" w:cs="Times New Roman"/>
                <w:sz w:val="24"/>
                <w:szCs w:val="24"/>
              </w:rPr>
            </w:pPr>
            <w:r w:rsidRPr="00FC30BB">
              <w:rPr>
                <w:rFonts w:ascii="Times New Roman" w:hAnsi="Times New Roman" w:cs="Times New Roman"/>
                <w:sz w:val="24"/>
                <w:szCs w:val="24"/>
              </w:rPr>
              <w:t>24/7/365</w:t>
            </w:r>
          </w:p>
        </w:tc>
        <w:tc>
          <w:tcPr>
            <w:tcW w:w="2266" w:type="dxa"/>
          </w:tcPr>
          <w:p w14:paraId="072E13E3" w14:textId="77777777" w:rsidR="00D92F49" w:rsidRPr="00FC30BB" w:rsidRDefault="00D92F49" w:rsidP="0075550A">
            <w:pPr>
              <w:rPr>
                <w:rFonts w:ascii="Times New Roman" w:hAnsi="Times New Roman" w:cs="Times New Roman"/>
                <w:sz w:val="24"/>
                <w:szCs w:val="24"/>
              </w:rPr>
            </w:pPr>
            <w:r w:rsidRPr="00FC30BB">
              <w:rPr>
                <w:rFonts w:ascii="Times New Roman" w:hAnsi="Times New Roman" w:cs="Times New Roman"/>
                <w:sz w:val="24"/>
                <w:szCs w:val="24"/>
              </w:rPr>
              <w:t>1 ura</w:t>
            </w:r>
          </w:p>
        </w:tc>
        <w:tc>
          <w:tcPr>
            <w:tcW w:w="2266" w:type="dxa"/>
          </w:tcPr>
          <w:p w14:paraId="0DBD9F3E" w14:textId="6350DA87" w:rsidR="00D92F49" w:rsidRPr="00FC30BB" w:rsidRDefault="00197F26" w:rsidP="0075550A">
            <w:pPr>
              <w:rPr>
                <w:rFonts w:ascii="Times New Roman" w:hAnsi="Times New Roman" w:cs="Times New Roman"/>
                <w:sz w:val="24"/>
                <w:szCs w:val="24"/>
              </w:rPr>
            </w:pPr>
            <w:r w:rsidRPr="00FC30BB">
              <w:rPr>
                <w:rFonts w:ascii="Times New Roman" w:hAnsi="Times New Roman" w:cs="Times New Roman"/>
                <w:sz w:val="24"/>
                <w:szCs w:val="24"/>
              </w:rPr>
              <w:t>naslednji delovni dan</w:t>
            </w:r>
          </w:p>
        </w:tc>
      </w:tr>
      <w:tr w:rsidR="00915C85" w:rsidRPr="00FC30BB" w14:paraId="20035E67" w14:textId="77777777" w:rsidTr="0075550A">
        <w:tc>
          <w:tcPr>
            <w:tcW w:w="2265" w:type="dxa"/>
          </w:tcPr>
          <w:p w14:paraId="21F6ECA9" w14:textId="77777777" w:rsidR="00D92F49" w:rsidRPr="00FC30BB" w:rsidRDefault="00D92F49" w:rsidP="0075550A">
            <w:pPr>
              <w:rPr>
                <w:rFonts w:ascii="Times New Roman" w:hAnsi="Times New Roman" w:cs="Times New Roman"/>
                <w:sz w:val="24"/>
                <w:szCs w:val="24"/>
              </w:rPr>
            </w:pPr>
            <w:r w:rsidRPr="00FC30BB">
              <w:rPr>
                <w:rFonts w:ascii="Times New Roman" w:hAnsi="Times New Roman" w:cs="Times New Roman"/>
                <w:sz w:val="24"/>
                <w:szCs w:val="24"/>
              </w:rPr>
              <w:t>Običajna</w:t>
            </w:r>
          </w:p>
        </w:tc>
        <w:tc>
          <w:tcPr>
            <w:tcW w:w="2265" w:type="dxa"/>
          </w:tcPr>
          <w:p w14:paraId="18E1DF1F" w14:textId="77777777" w:rsidR="00D92F49" w:rsidRPr="00FC30BB" w:rsidRDefault="00D92F49" w:rsidP="0075550A">
            <w:pPr>
              <w:rPr>
                <w:rFonts w:ascii="Times New Roman" w:hAnsi="Times New Roman" w:cs="Times New Roman"/>
                <w:sz w:val="24"/>
                <w:szCs w:val="24"/>
              </w:rPr>
            </w:pPr>
            <w:r w:rsidRPr="00FC30BB">
              <w:rPr>
                <w:rFonts w:ascii="Times New Roman" w:hAnsi="Times New Roman" w:cs="Times New Roman"/>
                <w:sz w:val="24"/>
                <w:szCs w:val="24"/>
              </w:rPr>
              <w:t>24/7/365</w:t>
            </w:r>
          </w:p>
        </w:tc>
        <w:tc>
          <w:tcPr>
            <w:tcW w:w="2266" w:type="dxa"/>
          </w:tcPr>
          <w:p w14:paraId="2C3965EE" w14:textId="77777777" w:rsidR="00D92F49" w:rsidRPr="00FC30BB" w:rsidRDefault="00D92F49" w:rsidP="0075550A">
            <w:pPr>
              <w:rPr>
                <w:rFonts w:ascii="Times New Roman" w:hAnsi="Times New Roman" w:cs="Times New Roman"/>
                <w:sz w:val="24"/>
                <w:szCs w:val="24"/>
              </w:rPr>
            </w:pPr>
            <w:r w:rsidRPr="00FC30BB">
              <w:rPr>
                <w:rFonts w:ascii="Times New Roman" w:hAnsi="Times New Roman" w:cs="Times New Roman"/>
                <w:sz w:val="24"/>
                <w:szCs w:val="24"/>
              </w:rPr>
              <w:t>30 minut</w:t>
            </w:r>
          </w:p>
        </w:tc>
        <w:tc>
          <w:tcPr>
            <w:tcW w:w="2266" w:type="dxa"/>
          </w:tcPr>
          <w:p w14:paraId="310821BF" w14:textId="00B6E748" w:rsidR="00D92F49" w:rsidRPr="00FC30BB" w:rsidRDefault="00197F26" w:rsidP="0075550A">
            <w:pPr>
              <w:rPr>
                <w:rFonts w:ascii="Times New Roman" w:hAnsi="Times New Roman" w:cs="Times New Roman"/>
                <w:sz w:val="24"/>
                <w:szCs w:val="24"/>
              </w:rPr>
            </w:pPr>
            <w:r w:rsidRPr="00FC30BB">
              <w:rPr>
                <w:rFonts w:ascii="Times New Roman" w:hAnsi="Times New Roman" w:cs="Times New Roman"/>
                <w:sz w:val="24"/>
                <w:szCs w:val="24"/>
              </w:rPr>
              <w:t>i</w:t>
            </w:r>
            <w:r w:rsidR="00D92F49" w:rsidRPr="00FC30BB">
              <w:rPr>
                <w:rFonts w:ascii="Times New Roman" w:hAnsi="Times New Roman" w:cs="Times New Roman"/>
                <w:sz w:val="24"/>
                <w:szCs w:val="24"/>
              </w:rPr>
              <w:t>sti</w:t>
            </w:r>
            <w:r w:rsidRPr="00FC30BB">
              <w:rPr>
                <w:rFonts w:ascii="Times New Roman" w:hAnsi="Times New Roman" w:cs="Times New Roman"/>
                <w:sz w:val="24"/>
                <w:szCs w:val="24"/>
              </w:rPr>
              <w:t xml:space="preserve"> </w:t>
            </w:r>
            <w:r w:rsidR="00D92F49" w:rsidRPr="00FC30BB">
              <w:rPr>
                <w:rFonts w:ascii="Times New Roman" w:hAnsi="Times New Roman" w:cs="Times New Roman"/>
                <w:sz w:val="24"/>
                <w:szCs w:val="24"/>
              </w:rPr>
              <w:t xml:space="preserve"> dan</w:t>
            </w:r>
          </w:p>
        </w:tc>
      </w:tr>
      <w:tr w:rsidR="00915C85" w:rsidRPr="00FC30BB" w14:paraId="31C7E474" w14:textId="77777777" w:rsidTr="0075550A">
        <w:tc>
          <w:tcPr>
            <w:tcW w:w="2265" w:type="dxa"/>
          </w:tcPr>
          <w:p w14:paraId="3C4949DE" w14:textId="77777777" w:rsidR="00D92F49" w:rsidRPr="00FC30BB" w:rsidRDefault="00D92F49" w:rsidP="0075550A">
            <w:pPr>
              <w:rPr>
                <w:rFonts w:ascii="Times New Roman" w:hAnsi="Times New Roman" w:cs="Times New Roman"/>
                <w:sz w:val="24"/>
                <w:szCs w:val="24"/>
              </w:rPr>
            </w:pPr>
            <w:r w:rsidRPr="00FC30BB">
              <w:rPr>
                <w:rFonts w:ascii="Times New Roman" w:hAnsi="Times New Roman" w:cs="Times New Roman"/>
                <w:sz w:val="24"/>
                <w:szCs w:val="24"/>
              </w:rPr>
              <w:t>Težja</w:t>
            </w:r>
          </w:p>
        </w:tc>
        <w:tc>
          <w:tcPr>
            <w:tcW w:w="2265" w:type="dxa"/>
          </w:tcPr>
          <w:p w14:paraId="62A3A92E" w14:textId="77777777" w:rsidR="00D92F49" w:rsidRPr="00FC30BB" w:rsidRDefault="00D92F49" w:rsidP="0075550A">
            <w:pPr>
              <w:rPr>
                <w:rFonts w:ascii="Times New Roman" w:hAnsi="Times New Roman" w:cs="Times New Roman"/>
                <w:sz w:val="24"/>
                <w:szCs w:val="24"/>
              </w:rPr>
            </w:pPr>
            <w:r w:rsidRPr="00FC30BB">
              <w:rPr>
                <w:rFonts w:ascii="Times New Roman" w:hAnsi="Times New Roman" w:cs="Times New Roman"/>
                <w:sz w:val="24"/>
                <w:szCs w:val="24"/>
              </w:rPr>
              <w:t>24/7/365</w:t>
            </w:r>
          </w:p>
        </w:tc>
        <w:tc>
          <w:tcPr>
            <w:tcW w:w="2266" w:type="dxa"/>
          </w:tcPr>
          <w:p w14:paraId="3B9E3A41" w14:textId="77777777" w:rsidR="00D92F49" w:rsidRPr="00FC30BB" w:rsidRDefault="00D92F49" w:rsidP="0075550A">
            <w:pPr>
              <w:rPr>
                <w:rFonts w:ascii="Times New Roman" w:hAnsi="Times New Roman" w:cs="Times New Roman"/>
                <w:sz w:val="24"/>
                <w:szCs w:val="24"/>
              </w:rPr>
            </w:pPr>
            <w:r w:rsidRPr="00FC30BB">
              <w:rPr>
                <w:rFonts w:ascii="Times New Roman" w:hAnsi="Times New Roman" w:cs="Times New Roman"/>
                <w:sz w:val="24"/>
                <w:szCs w:val="24"/>
              </w:rPr>
              <w:t>30 minut</w:t>
            </w:r>
          </w:p>
        </w:tc>
        <w:tc>
          <w:tcPr>
            <w:tcW w:w="2266" w:type="dxa"/>
          </w:tcPr>
          <w:p w14:paraId="402DA2B6" w14:textId="77777777" w:rsidR="00D92F49" w:rsidRPr="00FC30BB" w:rsidRDefault="00D92F49" w:rsidP="0075550A">
            <w:pPr>
              <w:rPr>
                <w:rFonts w:ascii="Times New Roman" w:hAnsi="Times New Roman" w:cs="Times New Roman"/>
                <w:sz w:val="24"/>
                <w:szCs w:val="24"/>
              </w:rPr>
            </w:pPr>
            <w:r w:rsidRPr="00FC30BB">
              <w:rPr>
                <w:rFonts w:ascii="Times New Roman" w:hAnsi="Times New Roman" w:cs="Times New Roman"/>
                <w:sz w:val="24"/>
                <w:szCs w:val="24"/>
              </w:rPr>
              <w:t>8 ur</w:t>
            </w:r>
          </w:p>
        </w:tc>
      </w:tr>
      <w:tr w:rsidR="00915C85" w:rsidRPr="00FC30BB" w14:paraId="3DEF46AC" w14:textId="77777777" w:rsidTr="0075550A">
        <w:tc>
          <w:tcPr>
            <w:tcW w:w="2265" w:type="dxa"/>
          </w:tcPr>
          <w:p w14:paraId="5C9402CA" w14:textId="77777777" w:rsidR="00D92F49" w:rsidRPr="00FC30BB" w:rsidRDefault="00D92F49" w:rsidP="0075550A">
            <w:pPr>
              <w:rPr>
                <w:rFonts w:ascii="Times New Roman" w:hAnsi="Times New Roman" w:cs="Times New Roman"/>
                <w:sz w:val="24"/>
                <w:szCs w:val="24"/>
              </w:rPr>
            </w:pPr>
            <w:r w:rsidRPr="00FC30BB">
              <w:rPr>
                <w:rFonts w:ascii="Times New Roman" w:hAnsi="Times New Roman" w:cs="Times New Roman"/>
                <w:sz w:val="24"/>
                <w:szCs w:val="24"/>
              </w:rPr>
              <w:t>Kritična</w:t>
            </w:r>
          </w:p>
        </w:tc>
        <w:tc>
          <w:tcPr>
            <w:tcW w:w="2265" w:type="dxa"/>
          </w:tcPr>
          <w:p w14:paraId="353BF89E" w14:textId="77777777" w:rsidR="00D92F49" w:rsidRPr="00FC30BB" w:rsidRDefault="00D92F49" w:rsidP="0075550A">
            <w:pPr>
              <w:rPr>
                <w:rFonts w:ascii="Times New Roman" w:hAnsi="Times New Roman" w:cs="Times New Roman"/>
                <w:sz w:val="24"/>
                <w:szCs w:val="24"/>
              </w:rPr>
            </w:pPr>
            <w:r w:rsidRPr="00FC30BB">
              <w:rPr>
                <w:rFonts w:ascii="Times New Roman" w:hAnsi="Times New Roman" w:cs="Times New Roman"/>
                <w:sz w:val="24"/>
                <w:szCs w:val="24"/>
              </w:rPr>
              <w:t>24/7/365</w:t>
            </w:r>
          </w:p>
        </w:tc>
        <w:tc>
          <w:tcPr>
            <w:tcW w:w="2266" w:type="dxa"/>
          </w:tcPr>
          <w:p w14:paraId="58BD9B31" w14:textId="62CB6D88" w:rsidR="00D92F49" w:rsidRPr="00FC30BB" w:rsidRDefault="00436A7C" w:rsidP="0075550A">
            <w:pPr>
              <w:rPr>
                <w:rFonts w:ascii="Times New Roman" w:hAnsi="Times New Roman" w:cs="Times New Roman"/>
                <w:sz w:val="24"/>
                <w:szCs w:val="24"/>
              </w:rPr>
            </w:pPr>
            <w:r>
              <w:rPr>
                <w:rFonts w:ascii="Times New Roman" w:hAnsi="Times New Roman" w:cs="Times New Roman"/>
                <w:sz w:val="24"/>
                <w:szCs w:val="24"/>
              </w:rPr>
              <w:t>15</w:t>
            </w:r>
            <w:r w:rsidR="00D92F49" w:rsidRPr="00FC30BB">
              <w:rPr>
                <w:rFonts w:ascii="Times New Roman" w:hAnsi="Times New Roman" w:cs="Times New Roman"/>
                <w:sz w:val="24"/>
                <w:szCs w:val="24"/>
              </w:rPr>
              <w:t xml:space="preserve"> minut</w:t>
            </w:r>
          </w:p>
        </w:tc>
        <w:tc>
          <w:tcPr>
            <w:tcW w:w="2266" w:type="dxa"/>
          </w:tcPr>
          <w:p w14:paraId="7CF77FD0" w14:textId="239E1E0E" w:rsidR="00D92F49" w:rsidRPr="00FC30BB" w:rsidRDefault="00436A7C" w:rsidP="00436A7C">
            <w:pPr>
              <w:rPr>
                <w:rFonts w:ascii="Times New Roman" w:hAnsi="Times New Roman" w:cs="Times New Roman"/>
                <w:sz w:val="24"/>
                <w:szCs w:val="24"/>
              </w:rPr>
            </w:pPr>
            <w:r>
              <w:rPr>
                <w:rFonts w:ascii="Times New Roman" w:hAnsi="Times New Roman" w:cs="Times New Roman"/>
                <w:sz w:val="24"/>
                <w:szCs w:val="24"/>
              </w:rPr>
              <w:t>2</w:t>
            </w:r>
            <w:r w:rsidR="00D92F49" w:rsidRPr="00FC30BB">
              <w:rPr>
                <w:rFonts w:ascii="Times New Roman" w:hAnsi="Times New Roman" w:cs="Times New Roman"/>
                <w:sz w:val="24"/>
                <w:szCs w:val="24"/>
              </w:rPr>
              <w:t xml:space="preserve"> ur</w:t>
            </w:r>
            <w:r>
              <w:rPr>
                <w:rFonts w:ascii="Times New Roman" w:hAnsi="Times New Roman" w:cs="Times New Roman"/>
                <w:sz w:val="24"/>
                <w:szCs w:val="24"/>
              </w:rPr>
              <w:t>i</w:t>
            </w:r>
          </w:p>
        </w:tc>
      </w:tr>
    </w:tbl>
    <w:p w14:paraId="702C7C2C" w14:textId="77777777" w:rsidR="00FC30BB" w:rsidRPr="00882497" w:rsidRDefault="00D92F49" w:rsidP="00882497">
      <w:pPr>
        <w:rPr>
          <w:i/>
          <w:iCs/>
        </w:rPr>
      </w:pPr>
      <w:r w:rsidRPr="00882497">
        <w:rPr>
          <w:i/>
          <w:iCs/>
        </w:rPr>
        <w:t>* Zahtevan je 30 sekundni odziv dežurne službe za odpravo napak in podporo v  95% vseh klicev</w:t>
      </w:r>
    </w:p>
    <w:p w14:paraId="2703796C" w14:textId="6B4C1161" w:rsidR="00D92F49" w:rsidRPr="00882497" w:rsidRDefault="00DF5886" w:rsidP="00882497">
      <w:pPr>
        <w:jc w:val="center"/>
        <w:rPr>
          <w:i/>
          <w:iCs/>
        </w:rPr>
      </w:pPr>
      <w:r w:rsidRPr="00882497">
        <w:rPr>
          <w:i/>
          <w:iCs/>
        </w:rPr>
        <w:t xml:space="preserve">Tabela </w:t>
      </w:r>
      <w:r w:rsidRPr="00882497">
        <w:rPr>
          <w:i/>
          <w:iCs/>
        </w:rPr>
        <w:fldChar w:fldCharType="begin"/>
      </w:r>
      <w:r w:rsidRPr="00882497">
        <w:rPr>
          <w:i/>
          <w:iCs/>
        </w:rPr>
        <w:instrText xml:space="preserve"> SEQ Tabela \* ARABIC </w:instrText>
      </w:r>
      <w:r w:rsidRPr="00882497">
        <w:rPr>
          <w:i/>
          <w:iCs/>
        </w:rPr>
        <w:fldChar w:fldCharType="separate"/>
      </w:r>
      <w:r w:rsidR="00233C23" w:rsidRPr="00882497">
        <w:rPr>
          <w:i/>
          <w:iCs/>
          <w:noProof/>
        </w:rPr>
        <w:t>5</w:t>
      </w:r>
      <w:r w:rsidRPr="00882497">
        <w:rPr>
          <w:i/>
          <w:iCs/>
        </w:rPr>
        <w:fldChar w:fldCharType="end"/>
      </w:r>
      <w:r w:rsidRPr="00882497">
        <w:rPr>
          <w:i/>
          <w:iCs/>
        </w:rPr>
        <w:t>: Parametri odprave napak  - SLA</w:t>
      </w:r>
    </w:p>
    <w:p w14:paraId="4B55ED10" w14:textId="77777777" w:rsidR="00D92F49" w:rsidRPr="00FC30BB" w:rsidRDefault="00D92F49" w:rsidP="00882497">
      <w:r w:rsidRPr="00FC30BB">
        <w:t xml:space="preserve">V čas odprave napake za se šteje tudi čas potreben za prihod na lokacijo naročnika. </w:t>
      </w:r>
    </w:p>
    <w:p w14:paraId="3A746DEF" w14:textId="099CB497" w:rsidR="00D92F49" w:rsidRPr="00FC30BB" w:rsidRDefault="00D92F49" w:rsidP="00882497">
      <w:r w:rsidRPr="00FC30BB">
        <w:t>Tehnična podpora zajema tudi pomoč pri nastavitvah in odkrivanju napak ter komunikacijo s proizvajalcem v primeru reševanja napak. Manjše napake in spremembe v nastavitvah opreme lahko izvajajo naročnikovi strokovni delavci po predhodnem telefonskem dogovoru s ponudnikom in na podlagi njegovega tehničnega svetovanja, sami.</w:t>
      </w:r>
    </w:p>
    <w:p w14:paraId="0CB78CC7" w14:textId="6CB4F882" w:rsidR="00CE74A5" w:rsidRPr="00FC30BB" w:rsidRDefault="00CE74A5" w:rsidP="00882497">
      <w:pPr>
        <w:pStyle w:val="Naslov3"/>
      </w:pPr>
      <w:r w:rsidRPr="00FC30BB">
        <w:t>Povračila v primeru nedoseganja SLA parametrov</w:t>
      </w:r>
    </w:p>
    <w:p w14:paraId="1FAA2B9D" w14:textId="77777777" w:rsidR="00D92F49" w:rsidRPr="00FC30BB" w:rsidRDefault="00D92F49" w:rsidP="00882497">
      <w:r w:rsidRPr="00FC30BB">
        <w:t xml:space="preserve"> V primeru, da je čas odprave napake za posamezno lokacijo večji od dogovorjenega, je izvajalec naročniku dolžan priznati dobropis v predlaganem deležu na mesečno pogodbeno obveznost za prizadete priključke za posamezno lokacijo v skladu z naslednjima tabelama:</w:t>
      </w:r>
    </w:p>
    <w:p w14:paraId="2F6F4125" w14:textId="1DA546A9" w:rsidR="00D92F49" w:rsidRPr="00FC30BB" w:rsidRDefault="00197F26" w:rsidP="00882497">
      <w:r w:rsidRPr="00FC30BB">
        <w:t>Fiksne</w:t>
      </w:r>
      <w:r w:rsidR="00D92F49" w:rsidRPr="00FC30BB">
        <w:t xml:space="preserve"> IP </w:t>
      </w:r>
      <w:r w:rsidR="00C87764" w:rsidRPr="00FC30BB">
        <w:t>storitve</w:t>
      </w:r>
      <w:r w:rsidR="00D92F49" w:rsidRPr="00FC30BB">
        <w:t>:</w:t>
      </w:r>
    </w:p>
    <w:tbl>
      <w:tblPr>
        <w:tblStyle w:val="Tabelamrea"/>
        <w:tblW w:w="0" w:type="auto"/>
        <w:tblLook w:val="04A0" w:firstRow="1" w:lastRow="0" w:firstColumn="1" w:lastColumn="0" w:noHBand="0" w:noVBand="1"/>
      </w:tblPr>
      <w:tblGrid>
        <w:gridCol w:w="1812"/>
        <w:gridCol w:w="1812"/>
        <w:gridCol w:w="1812"/>
        <w:gridCol w:w="1813"/>
        <w:gridCol w:w="1813"/>
      </w:tblGrid>
      <w:tr w:rsidR="00CE74A5" w:rsidRPr="00FC30BB" w14:paraId="6E7C7D6F" w14:textId="77777777" w:rsidTr="0075550A">
        <w:tc>
          <w:tcPr>
            <w:tcW w:w="1812" w:type="dxa"/>
          </w:tcPr>
          <w:p w14:paraId="5A22F70A" w14:textId="77777777" w:rsidR="00D92F49" w:rsidRPr="00FC30BB" w:rsidRDefault="00D92F49" w:rsidP="00882497">
            <w:r w:rsidRPr="00FC30BB">
              <w:t>Čas / vrsta napake</w:t>
            </w:r>
          </w:p>
        </w:tc>
        <w:tc>
          <w:tcPr>
            <w:tcW w:w="1812" w:type="dxa"/>
          </w:tcPr>
          <w:p w14:paraId="0A6C293B" w14:textId="77777777" w:rsidR="00D92F49" w:rsidRPr="00FC30BB" w:rsidRDefault="00D92F49" w:rsidP="00882497">
            <w:r w:rsidRPr="00FC30BB">
              <w:t>Dogovorjen čas</w:t>
            </w:r>
          </w:p>
        </w:tc>
        <w:tc>
          <w:tcPr>
            <w:tcW w:w="1812" w:type="dxa"/>
          </w:tcPr>
          <w:p w14:paraId="727673CE" w14:textId="08F7C984" w:rsidR="00D92F49" w:rsidRPr="00FC30BB" w:rsidRDefault="00D92F49" w:rsidP="00882497">
            <w:r w:rsidRPr="00FC30BB">
              <w:t xml:space="preserve">Prekoračitev do </w:t>
            </w:r>
            <w:r w:rsidR="00436A7C">
              <w:t>2</w:t>
            </w:r>
            <w:r w:rsidRPr="00FC30BB">
              <w:t xml:space="preserve"> ur</w:t>
            </w:r>
            <w:r w:rsidR="00436A7C">
              <w:t>i</w:t>
            </w:r>
          </w:p>
        </w:tc>
        <w:tc>
          <w:tcPr>
            <w:tcW w:w="1813" w:type="dxa"/>
          </w:tcPr>
          <w:p w14:paraId="45458897" w14:textId="34B5782E" w:rsidR="00D92F49" w:rsidRPr="00FC30BB" w:rsidRDefault="00D92F49" w:rsidP="00882497">
            <w:r w:rsidRPr="00FC30BB">
              <w:t xml:space="preserve">Prekoračitev do </w:t>
            </w:r>
            <w:r w:rsidR="00436A7C">
              <w:t>6 ur</w:t>
            </w:r>
          </w:p>
        </w:tc>
        <w:tc>
          <w:tcPr>
            <w:tcW w:w="1813" w:type="dxa"/>
          </w:tcPr>
          <w:p w14:paraId="1795F248" w14:textId="486FF5C9" w:rsidR="00D92F49" w:rsidRPr="00FC30BB" w:rsidRDefault="00D92F49" w:rsidP="00882497">
            <w:r w:rsidRPr="00FC30BB">
              <w:t>P</w:t>
            </w:r>
            <w:r w:rsidR="00436A7C">
              <w:t>rekoračitev nad 6</w:t>
            </w:r>
            <w:r w:rsidRPr="00FC30BB">
              <w:t xml:space="preserve"> urami</w:t>
            </w:r>
          </w:p>
        </w:tc>
      </w:tr>
      <w:tr w:rsidR="00C87764" w:rsidRPr="00FC30BB" w14:paraId="6890EB40" w14:textId="77777777" w:rsidTr="0075550A">
        <w:tc>
          <w:tcPr>
            <w:tcW w:w="1812" w:type="dxa"/>
          </w:tcPr>
          <w:p w14:paraId="38E4FDE4" w14:textId="77777777" w:rsidR="00D92F49" w:rsidRPr="00FC30BB" w:rsidRDefault="00D92F49" w:rsidP="00882497">
            <w:r w:rsidRPr="00FC30BB">
              <w:t>Prekoračitev [%]</w:t>
            </w:r>
          </w:p>
        </w:tc>
        <w:tc>
          <w:tcPr>
            <w:tcW w:w="1812" w:type="dxa"/>
          </w:tcPr>
          <w:p w14:paraId="43ECE354" w14:textId="77777777" w:rsidR="00D92F49" w:rsidRPr="00FC30BB" w:rsidRDefault="00D92F49" w:rsidP="00882497">
            <w:r w:rsidRPr="00FC30BB">
              <w:t>X+</w:t>
            </w:r>
          </w:p>
        </w:tc>
        <w:tc>
          <w:tcPr>
            <w:tcW w:w="1812" w:type="dxa"/>
          </w:tcPr>
          <w:p w14:paraId="71D9DCA3" w14:textId="77777777" w:rsidR="00D92F49" w:rsidRPr="00FC30BB" w:rsidRDefault="00D92F49" w:rsidP="00882497">
            <w:r w:rsidRPr="00FC30BB">
              <w:t>10%</w:t>
            </w:r>
          </w:p>
        </w:tc>
        <w:tc>
          <w:tcPr>
            <w:tcW w:w="1813" w:type="dxa"/>
          </w:tcPr>
          <w:p w14:paraId="4DF25239" w14:textId="56D904E2" w:rsidR="00D92F49" w:rsidRPr="00FC30BB" w:rsidRDefault="00436A7C" w:rsidP="00882497">
            <w:r>
              <w:t>3</w:t>
            </w:r>
            <w:r w:rsidR="00D92F49" w:rsidRPr="00FC30BB">
              <w:t>0%</w:t>
            </w:r>
          </w:p>
        </w:tc>
        <w:tc>
          <w:tcPr>
            <w:tcW w:w="1813" w:type="dxa"/>
          </w:tcPr>
          <w:p w14:paraId="64493C08" w14:textId="4FF454C2" w:rsidR="00D92F49" w:rsidRPr="00FC30BB" w:rsidRDefault="00436A7C" w:rsidP="00882497">
            <w:r>
              <w:t>10</w:t>
            </w:r>
            <w:r w:rsidR="00D92F49" w:rsidRPr="00FC30BB">
              <w:t>0%</w:t>
            </w:r>
          </w:p>
        </w:tc>
      </w:tr>
    </w:tbl>
    <w:p w14:paraId="362FF93C" w14:textId="1CF7A4A1" w:rsidR="00C87764" w:rsidRPr="00882497" w:rsidRDefault="00C87764" w:rsidP="00882497">
      <w:pPr>
        <w:jc w:val="center"/>
        <w:rPr>
          <w:i/>
        </w:rPr>
      </w:pPr>
      <w:r w:rsidRPr="00882497">
        <w:rPr>
          <w:i/>
        </w:rPr>
        <w:lastRenderedPageBreak/>
        <w:t xml:space="preserve">Tabela </w:t>
      </w:r>
      <w:r w:rsidRPr="00882497">
        <w:rPr>
          <w:i/>
        </w:rPr>
        <w:fldChar w:fldCharType="begin"/>
      </w:r>
      <w:r w:rsidRPr="00882497">
        <w:rPr>
          <w:i/>
        </w:rPr>
        <w:instrText xml:space="preserve"> SEQ Tabela \* ARABIC </w:instrText>
      </w:r>
      <w:r w:rsidRPr="00882497">
        <w:rPr>
          <w:i/>
        </w:rPr>
        <w:fldChar w:fldCharType="separate"/>
      </w:r>
      <w:r w:rsidR="00233C23" w:rsidRPr="00882497">
        <w:rPr>
          <w:i/>
          <w:noProof/>
        </w:rPr>
        <w:t>7</w:t>
      </w:r>
      <w:r w:rsidRPr="00882497">
        <w:rPr>
          <w:i/>
        </w:rPr>
        <w:fldChar w:fldCharType="end"/>
      </w:r>
      <w:r w:rsidRPr="00882497">
        <w:rPr>
          <w:i/>
        </w:rPr>
        <w:t>: Povračila v primeru nedoseganja SLA – fiksne IP storitve</w:t>
      </w:r>
    </w:p>
    <w:p w14:paraId="5265116A" w14:textId="1F32CD0C" w:rsidR="00D92F49" w:rsidRPr="00FC30BB" w:rsidRDefault="00D92F49" w:rsidP="00882497">
      <w:r w:rsidRPr="00FC30BB">
        <w:t xml:space="preserve">V primeru </w:t>
      </w:r>
      <w:r w:rsidR="00436A7C">
        <w:t>skupne mesečne</w:t>
      </w:r>
      <w:r w:rsidRPr="00FC30BB">
        <w:t xml:space="preserve"> nerazpoložljivosti storitve za posamezno lokacijo naročnika je izvajalec naročniku dolžan priznati dobropis na  mesečno naročnino za posamezno lokacijo v skladu z naslednjo tabelo: </w:t>
      </w:r>
    </w:p>
    <w:tbl>
      <w:tblPr>
        <w:tblStyle w:val="Tabelamrea"/>
        <w:tblW w:w="0" w:type="auto"/>
        <w:tblLook w:val="04A0" w:firstRow="1" w:lastRow="0" w:firstColumn="1" w:lastColumn="0" w:noHBand="0" w:noVBand="1"/>
      </w:tblPr>
      <w:tblGrid>
        <w:gridCol w:w="4531"/>
        <w:gridCol w:w="4531"/>
      </w:tblGrid>
      <w:tr w:rsidR="00C87764" w:rsidRPr="00FC30BB" w14:paraId="2253C90D" w14:textId="77777777" w:rsidTr="0075550A">
        <w:tc>
          <w:tcPr>
            <w:tcW w:w="4531" w:type="dxa"/>
          </w:tcPr>
          <w:p w14:paraId="0A59E7C7" w14:textId="0E5B5256" w:rsidR="00D92F49" w:rsidRPr="00FC30BB" w:rsidRDefault="00436A7C" w:rsidP="00882497">
            <w:r>
              <w:t>Skupna n</w:t>
            </w:r>
            <w:r w:rsidR="00D92F49" w:rsidRPr="00FC30BB">
              <w:t>erazpoložljivost storitve</w:t>
            </w:r>
            <w:r>
              <w:t xml:space="preserve"> (mesečno)</w:t>
            </w:r>
          </w:p>
        </w:tc>
        <w:tc>
          <w:tcPr>
            <w:tcW w:w="4531" w:type="dxa"/>
          </w:tcPr>
          <w:p w14:paraId="361D6FB8" w14:textId="77777777" w:rsidR="00D92F49" w:rsidRPr="00FC30BB" w:rsidRDefault="00D92F49" w:rsidP="00882497">
            <w:r w:rsidRPr="00FC30BB">
              <w:t>Odstotek dobropisa na mesečnem nivoju</w:t>
            </w:r>
          </w:p>
        </w:tc>
      </w:tr>
      <w:tr w:rsidR="00C87764" w:rsidRPr="00FC30BB" w14:paraId="3D10DB5E" w14:textId="77777777" w:rsidTr="0075550A">
        <w:tc>
          <w:tcPr>
            <w:tcW w:w="4531" w:type="dxa"/>
          </w:tcPr>
          <w:p w14:paraId="0354BE16" w14:textId="760897F0" w:rsidR="00D92F49" w:rsidRPr="00FC30BB" w:rsidRDefault="00D92F49" w:rsidP="00882497">
            <w:r w:rsidRPr="00FC30BB">
              <w:t xml:space="preserve">pod </w:t>
            </w:r>
            <w:r w:rsidR="00436A7C">
              <w:t>1</w:t>
            </w:r>
            <w:r w:rsidRPr="00FC30BB">
              <w:t>%</w:t>
            </w:r>
          </w:p>
        </w:tc>
        <w:tc>
          <w:tcPr>
            <w:tcW w:w="4531" w:type="dxa"/>
          </w:tcPr>
          <w:p w14:paraId="650CF49B" w14:textId="77777777" w:rsidR="00D92F49" w:rsidRPr="00FC30BB" w:rsidRDefault="00D92F49" w:rsidP="00882497">
            <w:r w:rsidRPr="00FC30BB">
              <w:t>20%</w:t>
            </w:r>
          </w:p>
        </w:tc>
      </w:tr>
      <w:tr w:rsidR="00C87764" w:rsidRPr="00FC30BB" w14:paraId="733CC013" w14:textId="77777777" w:rsidTr="0075550A">
        <w:tc>
          <w:tcPr>
            <w:tcW w:w="4531" w:type="dxa"/>
          </w:tcPr>
          <w:p w14:paraId="4ABC75B2" w14:textId="77777777" w:rsidR="00D92F49" w:rsidRPr="00FC30BB" w:rsidRDefault="00D92F49" w:rsidP="00882497">
            <w:r w:rsidRPr="00FC30BB">
              <w:t>1% - 2%</w:t>
            </w:r>
          </w:p>
        </w:tc>
        <w:tc>
          <w:tcPr>
            <w:tcW w:w="4531" w:type="dxa"/>
          </w:tcPr>
          <w:p w14:paraId="3AFC119E" w14:textId="77777777" w:rsidR="00D92F49" w:rsidRPr="00FC30BB" w:rsidRDefault="00D92F49" w:rsidP="00882497">
            <w:r w:rsidRPr="00FC30BB">
              <w:t>50%</w:t>
            </w:r>
          </w:p>
        </w:tc>
      </w:tr>
      <w:tr w:rsidR="00C87764" w:rsidRPr="00FC30BB" w14:paraId="768CE8E7" w14:textId="77777777" w:rsidTr="0075550A">
        <w:tc>
          <w:tcPr>
            <w:tcW w:w="4531" w:type="dxa"/>
          </w:tcPr>
          <w:p w14:paraId="7CA18565" w14:textId="77777777" w:rsidR="00D92F49" w:rsidRPr="00FC30BB" w:rsidRDefault="00D92F49" w:rsidP="00882497">
            <w:r w:rsidRPr="00FC30BB">
              <w:t>nad 2%</w:t>
            </w:r>
          </w:p>
        </w:tc>
        <w:tc>
          <w:tcPr>
            <w:tcW w:w="4531" w:type="dxa"/>
          </w:tcPr>
          <w:p w14:paraId="5B87747E" w14:textId="77777777" w:rsidR="00D92F49" w:rsidRPr="00FC30BB" w:rsidRDefault="00D92F49" w:rsidP="00882497">
            <w:r w:rsidRPr="00FC30BB">
              <w:t>100%</w:t>
            </w:r>
          </w:p>
        </w:tc>
      </w:tr>
    </w:tbl>
    <w:p w14:paraId="59BAECC7" w14:textId="12AA3842" w:rsidR="00C87764" w:rsidRPr="00882497" w:rsidRDefault="00C87764" w:rsidP="00882497">
      <w:pPr>
        <w:jc w:val="center"/>
        <w:rPr>
          <w:i/>
        </w:rPr>
      </w:pPr>
      <w:r w:rsidRPr="00882497">
        <w:rPr>
          <w:i/>
        </w:rPr>
        <w:t xml:space="preserve">Tabela </w:t>
      </w:r>
      <w:r w:rsidRPr="00882497">
        <w:rPr>
          <w:i/>
        </w:rPr>
        <w:fldChar w:fldCharType="begin"/>
      </w:r>
      <w:r w:rsidRPr="00882497">
        <w:rPr>
          <w:i/>
        </w:rPr>
        <w:instrText xml:space="preserve"> SEQ Tabela \* ARABIC </w:instrText>
      </w:r>
      <w:r w:rsidRPr="00882497">
        <w:rPr>
          <w:i/>
        </w:rPr>
        <w:fldChar w:fldCharType="separate"/>
      </w:r>
      <w:r w:rsidR="00233C23" w:rsidRPr="00882497">
        <w:rPr>
          <w:i/>
          <w:noProof/>
        </w:rPr>
        <w:t>8</w:t>
      </w:r>
      <w:r w:rsidRPr="00882497">
        <w:rPr>
          <w:i/>
        </w:rPr>
        <w:fldChar w:fldCharType="end"/>
      </w:r>
      <w:r w:rsidRPr="00882497">
        <w:rPr>
          <w:i/>
        </w:rPr>
        <w:t>: Povračila v primeru nerazpoložljivosti storitve</w:t>
      </w:r>
    </w:p>
    <w:p w14:paraId="09E36A53" w14:textId="6AB15A78" w:rsidR="00880CFE" w:rsidRDefault="00880CFE" w:rsidP="00882497">
      <w:r w:rsidRPr="00880CFE">
        <w:t>Vsa predvidena dela v omrežju ponudnika, ki bi lahko imela za posledico izpad storitev pri naročniku morajo biti v naprej napovedana (vsaj 10 dni p</w:t>
      </w:r>
      <w:r>
        <w:t>red predvidenim izvajanjem del). Naročnik in izvajalec se bosta dogovorila za protokol priprave zagotavljanja in izvajanja nujnih klicev. Če naročnik napovedi del ne bo prejel oz. jo bo prejel prepozno se bo vsaka prekinitev štela kot napaka (</w:t>
      </w:r>
      <w:r w:rsidR="00436A7C">
        <w:t>nedoseganje SLA).</w:t>
      </w:r>
    </w:p>
    <w:p w14:paraId="783FE711" w14:textId="77777777" w:rsidR="00C314F6" w:rsidRPr="00882497" w:rsidRDefault="00C314F6" w:rsidP="00C314F6">
      <w:pPr>
        <w:pStyle w:val="Naslov3"/>
        <w:numPr>
          <w:ilvl w:val="0"/>
          <w:numId w:val="0"/>
        </w:numPr>
      </w:pPr>
      <w:r w:rsidRPr="00882497">
        <w:t>Merilo za izbor in ponudbena cena</w:t>
      </w:r>
    </w:p>
    <w:p w14:paraId="46907CB3" w14:textId="52047F1B" w:rsidR="00C314F6" w:rsidRPr="008B1FC8" w:rsidRDefault="00C314F6" w:rsidP="00C314F6">
      <w:r w:rsidRPr="008B1FC8">
        <w:t>Ponudnik jamči ceno na enoto in da so v ceno všteti vsi stroški in obveznosti, ki omogočajo izvedbo predmeta naročila. Ponudnik jamči, da se cena v nobenem primeru ne bo spremenila v času izvajanja predmeta javnega naročila brez soglasja naročnika</w:t>
      </w:r>
      <w:r w:rsidR="00327A8A">
        <w:t>,</w:t>
      </w:r>
      <w:r w:rsidR="00F7455E">
        <w:t xml:space="preserve"> za kar bo pripravljen ustrezen aneks</w:t>
      </w:r>
      <w:r w:rsidRPr="008B1FC8">
        <w:t>.</w:t>
      </w:r>
    </w:p>
    <w:p w14:paraId="300CACE1" w14:textId="33143531" w:rsidR="00C314F6" w:rsidRDefault="00C314F6" w:rsidP="00C314F6">
      <w:r w:rsidRPr="008B1FC8">
        <w:t xml:space="preserve">Merilo za oddajo javnega naročila je </w:t>
      </w:r>
      <w:r>
        <w:t>najbolj ekonomska ponudba. Skupna cena glede na ponudbeno vrednost</w:t>
      </w:r>
      <w:r w:rsidR="00401F21">
        <w:t xml:space="preserve"> (izračunane na podlagi okvirnih količin v minutah za celotno obdobje trajanja tega naročila)</w:t>
      </w:r>
      <w:r w:rsidR="00100857">
        <w:t xml:space="preserve">. </w:t>
      </w:r>
      <w:r w:rsidRPr="008B1FC8">
        <w:t xml:space="preserve">V primeru </w:t>
      </w:r>
      <w:r w:rsidR="00100857">
        <w:t>enake cene</w:t>
      </w:r>
      <w:r>
        <w:t xml:space="preserve"> </w:t>
      </w:r>
      <w:r w:rsidRPr="008B1FC8">
        <w:t xml:space="preserve">bo </w:t>
      </w:r>
      <w:r w:rsidR="00383A41">
        <w:t>izbrana ponudba, ki jo naročnik prejme prej</w:t>
      </w:r>
      <w:r w:rsidRPr="008B1FC8">
        <w:t>.</w:t>
      </w:r>
    </w:p>
    <w:p w14:paraId="6BB9ACA7" w14:textId="7726159E" w:rsidR="00327A8A" w:rsidRPr="00327A8A" w:rsidRDefault="00327A8A" w:rsidP="00C314F6">
      <w:pPr>
        <w:rPr>
          <w:b/>
          <w:bCs/>
        </w:rPr>
      </w:pPr>
      <w:r w:rsidRPr="00327A8A">
        <w:rPr>
          <w:b/>
          <w:bCs/>
        </w:rPr>
        <w:t>Ponudnika prosimo, da k ponudbi pr</w:t>
      </w:r>
      <w:r>
        <w:rPr>
          <w:b/>
          <w:bCs/>
        </w:rPr>
        <w:t>i</w:t>
      </w:r>
      <w:r w:rsidRPr="00327A8A">
        <w:rPr>
          <w:b/>
          <w:bCs/>
        </w:rPr>
        <w:t>loži lasten osnutek pogodbe o poslovnem sodelovanju.</w:t>
      </w:r>
    </w:p>
    <w:sectPr w:rsidR="00327A8A" w:rsidRPr="00327A8A" w:rsidSect="00533BC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414F" w14:textId="77777777" w:rsidR="00095643" w:rsidRDefault="00095643" w:rsidP="00E51BD4">
      <w:pPr>
        <w:spacing w:after="0" w:line="240" w:lineRule="auto"/>
      </w:pPr>
      <w:r>
        <w:separator/>
      </w:r>
    </w:p>
  </w:endnote>
  <w:endnote w:type="continuationSeparator" w:id="0">
    <w:p w14:paraId="66B776AD" w14:textId="77777777" w:rsidR="00095643" w:rsidRDefault="00095643" w:rsidP="00E51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w:altName w:val="MS Gothic"/>
    <w:charset w:val="80"/>
    <w:family w:val="auto"/>
    <w:pitch w:val="variable"/>
  </w:font>
  <w:font w:name="Lohit Hindi">
    <w:altName w:val="MS Gothic"/>
    <w:charset w:val="80"/>
    <w:family w:val="auto"/>
    <w:pitch w:val="variable"/>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2BC0" w14:textId="77777777" w:rsidR="00A713F8" w:rsidRDefault="00A713F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534646"/>
      <w:docPartObj>
        <w:docPartGallery w:val="Page Numbers (Bottom of Page)"/>
        <w:docPartUnique/>
      </w:docPartObj>
    </w:sdtPr>
    <w:sdtEndPr/>
    <w:sdtContent>
      <w:p w14:paraId="4A3B25E0" w14:textId="597561EC" w:rsidR="00A713F8" w:rsidRDefault="00A713F8">
        <w:pPr>
          <w:pStyle w:val="Noga"/>
          <w:jc w:val="right"/>
        </w:pPr>
        <w:r>
          <w:fldChar w:fldCharType="begin"/>
        </w:r>
        <w:r>
          <w:instrText>PAGE   \* MERGEFORMAT</w:instrText>
        </w:r>
        <w:r>
          <w:fldChar w:fldCharType="separate"/>
        </w:r>
        <w:r w:rsidR="00E213EC" w:rsidRPr="00E213EC">
          <w:rPr>
            <w:noProof/>
            <w:lang w:val="sl-SI"/>
          </w:rPr>
          <w:t>9</w:t>
        </w:r>
        <w:r>
          <w:fldChar w:fldCharType="end"/>
        </w:r>
      </w:p>
    </w:sdtContent>
  </w:sdt>
  <w:p w14:paraId="4EC6F7B4" w14:textId="77777777" w:rsidR="00A713F8" w:rsidRDefault="00A713F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70C9" w14:textId="77777777" w:rsidR="00A713F8" w:rsidRDefault="00A713F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F7F91" w14:textId="77777777" w:rsidR="00095643" w:rsidRDefault="00095643" w:rsidP="00E51BD4">
      <w:pPr>
        <w:spacing w:after="0" w:line="240" w:lineRule="auto"/>
      </w:pPr>
      <w:r>
        <w:separator/>
      </w:r>
    </w:p>
  </w:footnote>
  <w:footnote w:type="continuationSeparator" w:id="0">
    <w:p w14:paraId="65BC9D5C" w14:textId="77777777" w:rsidR="00095643" w:rsidRDefault="00095643" w:rsidP="00E51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13CB" w14:textId="77777777" w:rsidR="00A713F8" w:rsidRDefault="00A713F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3041" w14:textId="77777777" w:rsidR="00A713F8" w:rsidRDefault="00A713F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C8C4" w14:textId="77777777" w:rsidR="00A713F8" w:rsidRDefault="00A713F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F37E"/>
    <w:multiLevelType w:val="hybridMultilevel"/>
    <w:tmpl w:val="CAB9F1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3F586C"/>
    <w:multiLevelType w:val="hybridMultilevel"/>
    <w:tmpl w:val="A498CF92"/>
    <w:lvl w:ilvl="0" w:tplc="AFE22170">
      <w:start w:val="1"/>
      <w:numFmt w:val="upperRoman"/>
      <w:pStyle w:val="Naslov2"/>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755734"/>
    <w:multiLevelType w:val="hybridMultilevel"/>
    <w:tmpl w:val="68ACEC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EF85063"/>
    <w:multiLevelType w:val="hybridMultilevel"/>
    <w:tmpl w:val="6FA23AA2"/>
    <w:lvl w:ilvl="0" w:tplc="8020EE36">
      <w:start w:val="1"/>
      <w:numFmt w:val="decimal"/>
      <w:lvlText w:val="%1."/>
      <w:lvlJc w:val="left"/>
      <w:pPr>
        <w:ind w:left="360" w:hanging="360"/>
      </w:pPr>
      <w:rPr>
        <w:rFonts w:cs="Times New Roman" w:hint="default"/>
        <w:color w:val="000000"/>
        <w:w w:val="116"/>
      </w:rPr>
    </w:lvl>
    <w:lvl w:ilvl="1" w:tplc="04240019">
      <w:start w:val="1"/>
      <w:numFmt w:val="lowerLetter"/>
      <w:lvlText w:val="%2."/>
      <w:lvlJc w:val="left"/>
      <w:pPr>
        <w:tabs>
          <w:tab w:val="num" w:pos="164"/>
        </w:tabs>
        <w:ind w:left="164" w:hanging="360"/>
      </w:pPr>
    </w:lvl>
    <w:lvl w:ilvl="2" w:tplc="D2F0D0D6">
      <w:start w:val="1"/>
      <w:numFmt w:val="decimal"/>
      <w:lvlText w:val="%3.)"/>
      <w:lvlJc w:val="right"/>
      <w:pPr>
        <w:tabs>
          <w:tab w:val="num" w:pos="580"/>
        </w:tabs>
        <w:ind w:left="580" w:hanging="180"/>
      </w:pPr>
      <w:rPr>
        <w:rFonts w:ascii="Arial" w:eastAsia="Times New Roman" w:hAnsi="Arial" w:cs="Arial" w:hint="default"/>
      </w:rPr>
    </w:lvl>
    <w:lvl w:ilvl="3" w:tplc="613256EA">
      <w:start w:val="1"/>
      <w:numFmt w:val="lowerLetter"/>
      <w:lvlText w:val="%4."/>
      <w:lvlJc w:val="left"/>
      <w:pPr>
        <w:tabs>
          <w:tab w:val="num" w:pos="1060"/>
        </w:tabs>
        <w:ind w:left="1060" w:hanging="360"/>
      </w:pPr>
      <w:rPr>
        <w:rFonts w:ascii="Arial" w:eastAsia="Times New Roman" w:hAnsi="Arial" w:cs="Arial" w:hint="default"/>
      </w:rPr>
    </w:lvl>
    <w:lvl w:ilvl="4" w:tplc="04240019" w:tentative="1">
      <w:start w:val="1"/>
      <w:numFmt w:val="lowerLetter"/>
      <w:lvlText w:val="%5."/>
      <w:lvlJc w:val="left"/>
      <w:pPr>
        <w:tabs>
          <w:tab w:val="num" w:pos="2324"/>
        </w:tabs>
        <w:ind w:left="2324" w:hanging="360"/>
      </w:pPr>
    </w:lvl>
    <w:lvl w:ilvl="5" w:tplc="0424001B" w:tentative="1">
      <w:start w:val="1"/>
      <w:numFmt w:val="lowerRoman"/>
      <w:lvlText w:val="%6."/>
      <w:lvlJc w:val="right"/>
      <w:pPr>
        <w:tabs>
          <w:tab w:val="num" w:pos="3044"/>
        </w:tabs>
        <w:ind w:left="3044" w:hanging="180"/>
      </w:pPr>
    </w:lvl>
    <w:lvl w:ilvl="6" w:tplc="0424000F" w:tentative="1">
      <w:start w:val="1"/>
      <w:numFmt w:val="decimal"/>
      <w:lvlText w:val="%7."/>
      <w:lvlJc w:val="left"/>
      <w:pPr>
        <w:tabs>
          <w:tab w:val="num" w:pos="3764"/>
        </w:tabs>
        <w:ind w:left="3764" w:hanging="360"/>
      </w:pPr>
    </w:lvl>
    <w:lvl w:ilvl="7" w:tplc="04240019" w:tentative="1">
      <w:start w:val="1"/>
      <w:numFmt w:val="lowerLetter"/>
      <w:lvlText w:val="%8."/>
      <w:lvlJc w:val="left"/>
      <w:pPr>
        <w:tabs>
          <w:tab w:val="num" w:pos="4484"/>
        </w:tabs>
        <w:ind w:left="4484" w:hanging="360"/>
      </w:pPr>
    </w:lvl>
    <w:lvl w:ilvl="8" w:tplc="0424001B" w:tentative="1">
      <w:start w:val="1"/>
      <w:numFmt w:val="lowerRoman"/>
      <w:lvlText w:val="%9."/>
      <w:lvlJc w:val="right"/>
      <w:pPr>
        <w:tabs>
          <w:tab w:val="num" w:pos="5204"/>
        </w:tabs>
        <w:ind w:left="5204" w:hanging="180"/>
      </w:pPr>
    </w:lvl>
  </w:abstractNum>
  <w:abstractNum w:abstractNumId="4" w15:restartNumberingAfterBreak="0">
    <w:nsid w:val="1F315F5C"/>
    <w:multiLevelType w:val="hybridMultilevel"/>
    <w:tmpl w:val="F982A100"/>
    <w:lvl w:ilvl="0" w:tplc="59C8CD0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AA4F4F"/>
    <w:multiLevelType w:val="hybridMultilevel"/>
    <w:tmpl w:val="A3E61802"/>
    <w:lvl w:ilvl="0" w:tplc="B8064A72">
      <w:start w:val="4"/>
      <w:numFmt w:val="upperRoman"/>
      <w:lvlText w:val="%1.)"/>
      <w:lvlJc w:val="left"/>
      <w:pPr>
        <w:ind w:left="720" w:hanging="720"/>
      </w:pPr>
      <w:rPr>
        <w:rFonts w:hint="default"/>
        <w:i w:val="0"/>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54A4D90"/>
    <w:multiLevelType w:val="hybridMultilevel"/>
    <w:tmpl w:val="3A9CC36E"/>
    <w:lvl w:ilvl="0" w:tplc="FFFFFFFF">
      <w:start w:val="1"/>
      <w:numFmt w:val="upperRoman"/>
      <w:lvlText w:val="%1.)"/>
      <w:lvlJc w:val="left"/>
      <w:pPr>
        <w:ind w:left="1080" w:hanging="720"/>
      </w:pPr>
      <w:rPr>
        <w:rFonts w:hint="default"/>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E54A65"/>
    <w:multiLevelType w:val="multilevel"/>
    <w:tmpl w:val="0F22ECB0"/>
    <w:lvl w:ilvl="0">
      <w:start w:val="1"/>
      <w:numFmt w:val="decimal"/>
      <w:lvlText w:val="%1."/>
      <w:lvlJc w:val="left"/>
      <w:pPr>
        <w:ind w:left="958" w:hanging="360"/>
      </w:pPr>
      <w:rPr>
        <w:rFonts w:ascii="Trebuchet MS" w:eastAsia="Trebuchet MS" w:hAnsi="Trebuchet MS" w:cs="Trebuchet MS" w:hint="default"/>
        <w:b/>
        <w:bCs/>
        <w:i w:val="0"/>
        <w:iCs w:val="0"/>
        <w:w w:val="100"/>
        <w:sz w:val="18"/>
        <w:szCs w:val="18"/>
        <w:lang w:val="sl-SI" w:eastAsia="en-US" w:bidi="ar-SA"/>
      </w:rPr>
    </w:lvl>
    <w:lvl w:ilvl="1">
      <w:start w:val="1"/>
      <w:numFmt w:val="decimal"/>
      <w:lvlText w:val="%1.%2"/>
      <w:lvlJc w:val="left"/>
      <w:pPr>
        <w:ind w:left="929" w:hanging="332"/>
      </w:pPr>
      <w:rPr>
        <w:rFonts w:ascii="Trebuchet MS" w:eastAsia="Trebuchet MS" w:hAnsi="Trebuchet MS" w:cs="Trebuchet MS" w:hint="default"/>
        <w:b/>
        <w:bCs/>
        <w:i w:val="0"/>
        <w:iCs w:val="0"/>
        <w:w w:val="100"/>
        <w:sz w:val="18"/>
        <w:szCs w:val="18"/>
        <w:lang w:val="sl-SI" w:eastAsia="en-US" w:bidi="ar-SA"/>
      </w:rPr>
    </w:lvl>
    <w:lvl w:ilvl="2">
      <w:numFmt w:val="bullet"/>
      <w:lvlText w:val="•"/>
      <w:lvlJc w:val="left"/>
      <w:pPr>
        <w:ind w:left="2005" w:hanging="332"/>
      </w:pPr>
      <w:rPr>
        <w:rFonts w:hint="default"/>
        <w:lang w:val="sl-SI" w:eastAsia="en-US" w:bidi="ar-SA"/>
      </w:rPr>
    </w:lvl>
    <w:lvl w:ilvl="3">
      <w:numFmt w:val="bullet"/>
      <w:lvlText w:val="•"/>
      <w:lvlJc w:val="left"/>
      <w:pPr>
        <w:ind w:left="3050" w:hanging="332"/>
      </w:pPr>
      <w:rPr>
        <w:rFonts w:hint="default"/>
        <w:lang w:val="sl-SI" w:eastAsia="en-US" w:bidi="ar-SA"/>
      </w:rPr>
    </w:lvl>
    <w:lvl w:ilvl="4">
      <w:numFmt w:val="bullet"/>
      <w:lvlText w:val="•"/>
      <w:lvlJc w:val="left"/>
      <w:pPr>
        <w:ind w:left="4095" w:hanging="332"/>
      </w:pPr>
      <w:rPr>
        <w:rFonts w:hint="default"/>
        <w:lang w:val="sl-SI" w:eastAsia="en-US" w:bidi="ar-SA"/>
      </w:rPr>
    </w:lvl>
    <w:lvl w:ilvl="5">
      <w:numFmt w:val="bullet"/>
      <w:lvlText w:val="•"/>
      <w:lvlJc w:val="left"/>
      <w:pPr>
        <w:ind w:left="5140" w:hanging="332"/>
      </w:pPr>
      <w:rPr>
        <w:rFonts w:hint="default"/>
        <w:lang w:val="sl-SI" w:eastAsia="en-US" w:bidi="ar-SA"/>
      </w:rPr>
    </w:lvl>
    <w:lvl w:ilvl="6">
      <w:numFmt w:val="bullet"/>
      <w:lvlText w:val="•"/>
      <w:lvlJc w:val="left"/>
      <w:pPr>
        <w:ind w:left="6185" w:hanging="332"/>
      </w:pPr>
      <w:rPr>
        <w:rFonts w:hint="default"/>
        <w:lang w:val="sl-SI" w:eastAsia="en-US" w:bidi="ar-SA"/>
      </w:rPr>
    </w:lvl>
    <w:lvl w:ilvl="7">
      <w:numFmt w:val="bullet"/>
      <w:lvlText w:val="•"/>
      <w:lvlJc w:val="left"/>
      <w:pPr>
        <w:ind w:left="7230" w:hanging="332"/>
      </w:pPr>
      <w:rPr>
        <w:rFonts w:hint="default"/>
        <w:lang w:val="sl-SI" w:eastAsia="en-US" w:bidi="ar-SA"/>
      </w:rPr>
    </w:lvl>
    <w:lvl w:ilvl="8">
      <w:numFmt w:val="bullet"/>
      <w:lvlText w:val="•"/>
      <w:lvlJc w:val="left"/>
      <w:pPr>
        <w:ind w:left="8276" w:hanging="332"/>
      </w:pPr>
      <w:rPr>
        <w:rFonts w:hint="default"/>
        <w:lang w:val="sl-SI" w:eastAsia="en-US" w:bidi="ar-SA"/>
      </w:rPr>
    </w:lvl>
  </w:abstractNum>
  <w:abstractNum w:abstractNumId="8" w15:restartNumberingAfterBreak="0">
    <w:nsid w:val="2D3623FA"/>
    <w:multiLevelType w:val="multilevel"/>
    <w:tmpl w:val="79B6AE7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046291A"/>
    <w:multiLevelType w:val="hybridMultilevel"/>
    <w:tmpl w:val="86421FBC"/>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102724"/>
    <w:multiLevelType w:val="hybridMultilevel"/>
    <w:tmpl w:val="36233A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10F20D7"/>
    <w:multiLevelType w:val="hybridMultilevel"/>
    <w:tmpl w:val="FF9EE736"/>
    <w:lvl w:ilvl="0" w:tplc="EC1A51D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F105E22"/>
    <w:multiLevelType w:val="hybridMultilevel"/>
    <w:tmpl w:val="3A9CC36E"/>
    <w:lvl w:ilvl="0" w:tplc="103E88CA">
      <w:start w:val="1"/>
      <w:numFmt w:val="upperRoman"/>
      <w:lvlText w:val="%1.)"/>
      <w:lvlJc w:val="left"/>
      <w:pPr>
        <w:ind w:left="1080" w:hanging="720"/>
      </w:pPr>
      <w:rPr>
        <w:rFonts w:hint="default"/>
        <w:i w:val="0"/>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3CB5E06"/>
    <w:multiLevelType w:val="hybridMultilevel"/>
    <w:tmpl w:val="DB748172"/>
    <w:lvl w:ilvl="0" w:tplc="9FF0506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ED7144"/>
    <w:multiLevelType w:val="hybridMultilevel"/>
    <w:tmpl w:val="FFFC0A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4172B50"/>
    <w:multiLevelType w:val="hybridMultilevel"/>
    <w:tmpl w:val="F0D066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4CE2DD2"/>
    <w:multiLevelType w:val="hybridMultilevel"/>
    <w:tmpl w:val="CF4AE14E"/>
    <w:lvl w:ilvl="0" w:tplc="F3E42AAC">
      <w:start w:val="1"/>
      <w:numFmt w:val="decimal"/>
      <w:pStyle w:val="Naslov3"/>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975190C"/>
    <w:multiLevelType w:val="hybridMultilevel"/>
    <w:tmpl w:val="26B2D742"/>
    <w:lvl w:ilvl="0" w:tplc="2B7ED824">
      <w:start w:val="2"/>
      <w:numFmt w:val="bullet"/>
      <w:lvlText w:val="-"/>
      <w:lvlJc w:val="left"/>
      <w:pPr>
        <w:tabs>
          <w:tab w:val="num" w:pos="1068"/>
        </w:tabs>
        <w:ind w:left="1068" w:hanging="360"/>
      </w:pPr>
      <w:rPr>
        <w:rFonts w:ascii="Arial" w:eastAsia="Times New Roman" w:hAnsi="Arial" w:cs="Arial" w:hint="default"/>
        <w:sz w:val="24"/>
        <w:szCs w:val="24"/>
      </w:rPr>
    </w:lvl>
    <w:lvl w:ilvl="1" w:tplc="04240003">
      <w:start w:val="1"/>
      <w:numFmt w:val="bullet"/>
      <w:lvlText w:val="o"/>
      <w:lvlJc w:val="left"/>
      <w:pPr>
        <w:tabs>
          <w:tab w:val="num" w:pos="1788"/>
        </w:tabs>
        <w:ind w:left="1788" w:hanging="360"/>
      </w:pPr>
      <w:rPr>
        <w:rFonts w:ascii="Courier New" w:hAnsi="Courier New" w:cs="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625D4F48"/>
    <w:multiLevelType w:val="hybridMultilevel"/>
    <w:tmpl w:val="9E7EF8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A6A20E2"/>
    <w:multiLevelType w:val="hybridMultilevel"/>
    <w:tmpl w:val="56C066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B3111ED"/>
    <w:multiLevelType w:val="multilevel"/>
    <w:tmpl w:val="95623596"/>
    <w:name w:val="MOJ seznam"/>
    <w:lvl w:ilvl="0">
      <w:start w:val="1"/>
      <w:numFmt w:val="decimal"/>
      <w:pStyle w:val="MOJNaslov-1"/>
      <w:lvlText w:val="%1"/>
      <w:lvlJc w:val="left"/>
      <w:pPr>
        <w:ind w:left="432" w:hanging="432"/>
      </w:pPr>
      <w:rPr>
        <w:rFonts w:hint="default"/>
      </w:rPr>
    </w:lvl>
    <w:lvl w:ilvl="1">
      <w:start w:val="1"/>
      <w:numFmt w:val="decimal"/>
      <w:pStyle w:val="MOJNaslov-2"/>
      <w:lvlText w:val="%1.%2"/>
      <w:lvlJc w:val="left"/>
      <w:pPr>
        <w:ind w:left="576" w:hanging="576"/>
      </w:pPr>
      <w:rPr>
        <w:rFonts w:hint="default"/>
      </w:rPr>
    </w:lvl>
    <w:lvl w:ilvl="2">
      <w:start w:val="1"/>
      <w:numFmt w:val="decimal"/>
      <w:pStyle w:val="MOJNaslov-3"/>
      <w:lvlText w:val="%1.%2.%3"/>
      <w:lvlJc w:val="left"/>
      <w:pPr>
        <w:ind w:left="720" w:hanging="720"/>
      </w:pPr>
      <w:rPr>
        <w:rFonts w:hint="default"/>
      </w:rPr>
    </w:lvl>
    <w:lvl w:ilvl="3">
      <w:start w:val="1"/>
      <w:numFmt w:val="decimal"/>
      <w:pStyle w:val="MOJNaslov-4"/>
      <w:isLg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932395193">
    <w:abstractNumId w:val="11"/>
  </w:num>
  <w:num w:numId="2" w16cid:durableId="31807128">
    <w:abstractNumId w:val="17"/>
  </w:num>
  <w:num w:numId="3" w16cid:durableId="1386418240">
    <w:abstractNumId w:val="12"/>
  </w:num>
  <w:num w:numId="4" w16cid:durableId="1995183381">
    <w:abstractNumId w:val="20"/>
  </w:num>
  <w:num w:numId="5" w16cid:durableId="1019699556">
    <w:abstractNumId w:val="0"/>
  </w:num>
  <w:num w:numId="6" w16cid:durableId="512761543">
    <w:abstractNumId w:val="10"/>
  </w:num>
  <w:num w:numId="7" w16cid:durableId="1925721669">
    <w:abstractNumId w:val="15"/>
  </w:num>
  <w:num w:numId="8" w16cid:durableId="1048259826">
    <w:abstractNumId w:val="7"/>
  </w:num>
  <w:num w:numId="9" w16cid:durableId="1272931874">
    <w:abstractNumId w:val="8"/>
  </w:num>
  <w:num w:numId="10" w16cid:durableId="1763868295">
    <w:abstractNumId w:val="13"/>
  </w:num>
  <w:num w:numId="11" w16cid:durableId="500243646">
    <w:abstractNumId w:val="3"/>
  </w:num>
  <w:num w:numId="12" w16cid:durableId="1127550514">
    <w:abstractNumId w:val="6"/>
  </w:num>
  <w:num w:numId="13" w16cid:durableId="887649134">
    <w:abstractNumId w:val="5"/>
  </w:num>
  <w:num w:numId="14" w16cid:durableId="950477598">
    <w:abstractNumId w:val="19"/>
  </w:num>
  <w:num w:numId="15" w16cid:durableId="327297191">
    <w:abstractNumId w:val="9"/>
  </w:num>
  <w:num w:numId="16" w16cid:durableId="24718542">
    <w:abstractNumId w:val="1"/>
  </w:num>
  <w:num w:numId="17" w16cid:durableId="314725817">
    <w:abstractNumId w:val="16"/>
  </w:num>
  <w:num w:numId="18" w16cid:durableId="143741696">
    <w:abstractNumId w:val="16"/>
    <w:lvlOverride w:ilvl="0">
      <w:startOverride w:val="1"/>
    </w:lvlOverride>
  </w:num>
  <w:num w:numId="19" w16cid:durableId="954674130">
    <w:abstractNumId w:val="16"/>
    <w:lvlOverride w:ilvl="0">
      <w:startOverride w:val="1"/>
    </w:lvlOverride>
  </w:num>
  <w:num w:numId="20" w16cid:durableId="1538003136">
    <w:abstractNumId w:val="14"/>
  </w:num>
  <w:num w:numId="21" w16cid:durableId="605309799">
    <w:abstractNumId w:val="18"/>
  </w:num>
  <w:num w:numId="22" w16cid:durableId="410585992">
    <w:abstractNumId w:val="2"/>
  </w:num>
  <w:num w:numId="23" w16cid:durableId="1158300426">
    <w:abstractNumId w:val="16"/>
    <w:lvlOverride w:ilvl="0">
      <w:startOverride w:val="1"/>
    </w:lvlOverride>
  </w:num>
  <w:num w:numId="24" w16cid:durableId="185179979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C0"/>
    <w:rsid w:val="00000A1D"/>
    <w:rsid w:val="00017FE9"/>
    <w:rsid w:val="000206D4"/>
    <w:rsid w:val="000225D9"/>
    <w:rsid w:val="00051A7F"/>
    <w:rsid w:val="00053127"/>
    <w:rsid w:val="00055686"/>
    <w:rsid w:val="000557E3"/>
    <w:rsid w:val="00060F84"/>
    <w:rsid w:val="00061A3E"/>
    <w:rsid w:val="0007413D"/>
    <w:rsid w:val="00084C2F"/>
    <w:rsid w:val="0008618F"/>
    <w:rsid w:val="0008757C"/>
    <w:rsid w:val="000948BA"/>
    <w:rsid w:val="00095643"/>
    <w:rsid w:val="00095BD8"/>
    <w:rsid w:val="000A7418"/>
    <w:rsid w:val="000B440F"/>
    <w:rsid w:val="000D0EB3"/>
    <w:rsid w:val="000D1152"/>
    <w:rsid w:val="000D59BA"/>
    <w:rsid w:val="000F48BE"/>
    <w:rsid w:val="000F6016"/>
    <w:rsid w:val="00100857"/>
    <w:rsid w:val="00103DB7"/>
    <w:rsid w:val="0010696D"/>
    <w:rsid w:val="0011188E"/>
    <w:rsid w:val="00136E4F"/>
    <w:rsid w:val="00137466"/>
    <w:rsid w:val="00146D4E"/>
    <w:rsid w:val="00152EAE"/>
    <w:rsid w:val="0016561A"/>
    <w:rsid w:val="00174EFE"/>
    <w:rsid w:val="001951C7"/>
    <w:rsid w:val="0019791B"/>
    <w:rsid w:val="00197F26"/>
    <w:rsid w:val="001B6152"/>
    <w:rsid w:val="001B7D10"/>
    <w:rsid w:val="001C2515"/>
    <w:rsid w:val="001C3B70"/>
    <w:rsid w:val="001C7E53"/>
    <w:rsid w:val="001E247D"/>
    <w:rsid w:val="001E539A"/>
    <w:rsid w:val="001F1062"/>
    <w:rsid w:val="001F3E1C"/>
    <w:rsid w:val="00227420"/>
    <w:rsid w:val="00233908"/>
    <w:rsid w:val="00233C23"/>
    <w:rsid w:val="0024307B"/>
    <w:rsid w:val="0024474D"/>
    <w:rsid w:val="002447D6"/>
    <w:rsid w:val="0026482C"/>
    <w:rsid w:val="00267AA1"/>
    <w:rsid w:val="002703F5"/>
    <w:rsid w:val="002725A3"/>
    <w:rsid w:val="00276812"/>
    <w:rsid w:val="002A1325"/>
    <w:rsid w:val="002A3E1F"/>
    <w:rsid w:val="002A47A7"/>
    <w:rsid w:val="002B2FFF"/>
    <w:rsid w:val="002B3CF3"/>
    <w:rsid w:val="002C2E80"/>
    <w:rsid w:val="002D3AE6"/>
    <w:rsid w:val="002E0E28"/>
    <w:rsid w:val="002F1B33"/>
    <w:rsid w:val="003017F1"/>
    <w:rsid w:val="003044AD"/>
    <w:rsid w:val="0031332C"/>
    <w:rsid w:val="00320D9C"/>
    <w:rsid w:val="003249F9"/>
    <w:rsid w:val="00325611"/>
    <w:rsid w:val="003279B6"/>
    <w:rsid w:val="00327A8A"/>
    <w:rsid w:val="00366965"/>
    <w:rsid w:val="00383A41"/>
    <w:rsid w:val="00383B2B"/>
    <w:rsid w:val="003A71C9"/>
    <w:rsid w:val="003A7A5A"/>
    <w:rsid w:val="003B17BC"/>
    <w:rsid w:val="003B2763"/>
    <w:rsid w:val="003B4F44"/>
    <w:rsid w:val="003C6B82"/>
    <w:rsid w:val="003D12AF"/>
    <w:rsid w:val="003D60CC"/>
    <w:rsid w:val="003E1262"/>
    <w:rsid w:val="003E1D22"/>
    <w:rsid w:val="003E5102"/>
    <w:rsid w:val="003E7326"/>
    <w:rsid w:val="003F240C"/>
    <w:rsid w:val="00401F21"/>
    <w:rsid w:val="00402472"/>
    <w:rsid w:val="00404C38"/>
    <w:rsid w:val="00415FC7"/>
    <w:rsid w:val="00416F72"/>
    <w:rsid w:val="004172CE"/>
    <w:rsid w:val="00436A7C"/>
    <w:rsid w:val="004409B7"/>
    <w:rsid w:val="00455F85"/>
    <w:rsid w:val="00462933"/>
    <w:rsid w:val="004761C8"/>
    <w:rsid w:val="00477596"/>
    <w:rsid w:val="00482693"/>
    <w:rsid w:val="004916D6"/>
    <w:rsid w:val="004949D9"/>
    <w:rsid w:val="004A0484"/>
    <w:rsid w:val="004A22DB"/>
    <w:rsid w:val="004A3294"/>
    <w:rsid w:val="004A3C1B"/>
    <w:rsid w:val="004B21C6"/>
    <w:rsid w:val="004B2880"/>
    <w:rsid w:val="004B5C61"/>
    <w:rsid w:val="004C594B"/>
    <w:rsid w:val="004C6064"/>
    <w:rsid w:val="004D2AD2"/>
    <w:rsid w:val="004D3192"/>
    <w:rsid w:val="004D3629"/>
    <w:rsid w:val="004D4F15"/>
    <w:rsid w:val="004E0C5E"/>
    <w:rsid w:val="004E62E0"/>
    <w:rsid w:val="004F526C"/>
    <w:rsid w:val="00501F91"/>
    <w:rsid w:val="005037A2"/>
    <w:rsid w:val="0050436C"/>
    <w:rsid w:val="005066E4"/>
    <w:rsid w:val="00513E0C"/>
    <w:rsid w:val="00521C62"/>
    <w:rsid w:val="00533BC0"/>
    <w:rsid w:val="005436F4"/>
    <w:rsid w:val="0055212A"/>
    <w:rsid w:val="00554CF4"/>
    <w:rsid w:val="00555CCC"/>
    <w:rsid w:val="00560A62"/>
    <w:rsid w:val="005666C4"/>
    <w:rsid w:val="00567A8F"/>
    <w:rsid w:val="005702BA"/>
    <w:rsid w:val="0057174B"/>
    <w:rsid w:val="00574200"/>
    <w:rsid w:val="00580307"/>
    <w:rsid w:val="0058629D"/>
    <w:rsid w:val="00587438"/>
    <w:rsid w:val="00587B87"/>
    <w:rsid w:val="0059673C"/>
    <w:rsid w:val="005A482C"/>
    <w:rsid w:val="005A5BE8"/>
    <w:rsid w:val="005B65BD"/>
    <w:rsid w:val="005D14AA"/>
    <w:rsid w:val="005E3E60"/>
    <w:rsid w:val="005E3F00"/>
    <w:rsid w:val="005E45A5"/>
    <w:rsid w:val="005E5360"/>
    <w:rsid w:val="005E5531"/>
    <w:rsid w:val="005E6576"/>
    <w:rsid w:val="005F3605"/>
    <w:rsid w:val="005F4A4C"/>
    <w:rsid w:val="00602375"/>
    <w:rsid w:val="006026D2"/>
    <w:rsid w:val="00605152"/>
    <w:rsid w:val="00605D1C"/>
    <w:rsid w:val="00607351"/>
    <w:rsid w:val="00615909"/>
    <w:rsid w:val="00616666"/>
    <w:rsid w:val="00622A56"/>
    <w:rsid w:val="00623475"/>
    <w:rsid w:val="006321D2"/>
    <w:rsid w:val="006444B3"/>
    <w:rsid w:val="0065544B"/>
    <w:rsid w:val="006634FB"/>
    <w:rsid w:val="00672E7A"/>
    <w:rsid w:val="00674614"/>
    <w:rsid w:val="00676C8A"/>
    <w:rsid w:val="006A028E"/>
    <w:rsid w:val="006A5240"/>
    <w:rsid w:val="006B016C"/>
    <w:rsid w:val="006B0BC2"/>
    <w:rsid w:val="006C4DEB"/>
    <w:rsid w:val="006E4F30"/>
    <w:rsid w:val="006F62FB"/>
    <w:rsid w:val="0070402D"/>
    <w:rsid w:val="00711DFC"/>
    <w:rsid w:val="00721E2D"/>
    <w:rsid w:val="00732921"/>
    <w:rsid w:val="0073317A"/>
    <w:rsid w:val="007437C7"/>
    <w:rsid w:val="0075550A"/>
    <w:rsid w:val="00761175"/>
    <w:rsid w:val="00772507"/>
    <w:rsid w:val="00774B22"/>
    <w:rsid w:val="00781C4A"/>
    <w:rsid w:val="0079735F"/>
    <w:rsid w:val="007A1B45"/>
    <w:rsid w:val="007A749F"/>
    <w:rsid w:val="007B2DF7"/>
    <w:rsid w:val="007C6590"/>
    <w:rsid w:val="007F1225"/>
    <w:rsid w:val="007F1742"/>
    <w:rsid w:val="007F35AF"/>
    <w:rsid w:val="007F770D"/>
    <w:rsid w:val="0081347C"/>
    <w:rsid w:val="008144DB"/>
    <w:rsid w:val="00822C70"/>
    <w:rsid w:val="00824079"/>
    <w:rsid w:val="00825CE6"/>
    <w:rsid w:val="00834FF8"/>
    <w:rsid w:val="00842137"/>
    <w:rsid w:val="00843CF8"/>
    <w:rsid w:val="008449E6"/>
    <w:rsid w:val="00844C81"/>
    <w:rsid w:val="00846C58"/>
    <w:rsid w:val="008534AE"/>
    <w:rsid w:val="008620D5"/>
    <w:rsid w:val="00874A0D"/>
    <w:rsid w:val="008755E0"/>
    <w:rsid w:val="00880CFE"/>
    <w:rsid w:val="0088134D"/>
    <w:rsid w:val="00882497"/>
    <w:rsid w:val="008900F3"/>
    <w:rsid w:val="008928C5"/>
    <w:rsid w:val="008B0773"/>
    <w:rsid w:val="008D1C7A"/>
    <w:rsid w:val="008D28B8"/>
    <w:rsid w:val="008D75AC"/>
    <w:rsid w:val="008D7EB1"/>
    <w:rsid w:val="008E0DC2"/>
    <w:rsid w:val="008E357F"/>
    <w:rsid w:val="008E5C8B"/>
    <w:rsid w:val="008F485F"/>
    <w:rsid w:val="008F5C3A"/>
    <w:rsid w:val="008F64F3"/>
    <w:rsid w:val="008F779B"/>
    <w:rsid w:val="009025DB"/>
    <w:rsid w:val="009145EB"/>
    <w:rsid w:val="00915C85"/>
    <w:rsid w:val="00926153"/>
    <w:rsid w:val="00932F2F"/>
    <w:rsid w:val="00940495"/>
    <w:rsid w:val="00940F7B"/>
    <w:rsid w:val="00945745"/>
    <w:rsid w:val="00946F99"/>
    <w:rsid w:val="00950029"/>
    <w:rsid w:val="009520ED"/>
    <w:rsid w:val="0095449E"/>
    <w:rsid w:val="009625DB"/>
    <w:rsid w:val="00964F1C"/>
    <w:rsid w:val="0096568C"/>
    <w:rsid w:val="00971841"/>
    <w:rsid w:val="0099089B"/>
    <w:rsid w:val="00992596"/>
    <w:rsid w:val="009971F2"/>
    <w:rsid w:val="009A3630"/>
    <w:rsid w:val="009B5A0E"/>
    <w:rsid w:val="009B608B"/>
    <w:rsid w:val="009C3B58"/>
    <w:rsid w:val="009D1DB5"/>
    <w:rsid w:val="009E6E51"/>
    <w:rsid w:val="009F14AB"/>
    <w:rsid w:val="009F676C"/>
    <w:rsid w:val="00A16161"/>
    <w:rsid w:val="00A22845"/>
    <w:rsid w:val="00A315C8"/>
    <w:rsid w:val="00A42D1C"/>
    <w:rsid w:val="00A44103"/>
    <w:rsid w:val="00A44F44"/>
    <w:rsid w:val="00A4638B"/>
    <w:rsid w:val="00A5506C"/>
    <w:rsid w:val="00A60790"/>
    <w:rsid w:val="00A71326"/>
    <w:rsid w:val="00A713F8"/>
    <w:rsid w:val="00A749E1"/>
    <w:rsid w:val="00A8411A"/>
    <w:rsid w:val="00A93FF7"/>
    <w:rsid w:val="00A96184"/>
    <w:rsid w:val="00AA00E3"/>
    <w:rsid w:val="00AA316F"/>
    <w:rsid w:val="00AB2FFD"/>
    <w:rsid w:val="00AB422C"/>
    <w:rsid w:val="00AC2EA1"/>
    <w:rsid w:val="00AD707A"/>
    <w:rsid w:val="00AD7E21"/>
    <w:rsid w:val="00AE13C9"/>
    <w:rsid w:val="00AF284E"/>
    <w:rsid w:val="00AF3D49"/>
    <w:rsid w:val="00B160E2"/>
    <w:rsid w:val="00B215FE"/>
    <w:rsid w:val="00B23C7D"/>
    <w:rsid w:val="00B434C0"/>
    <w:rsid w:val="00B51020"/>
    <w:rsid w:val="00B5217B"/>
    <w:rsid w:val="00B53291"/>
    <w:rsid w:val="00B57CEE"/>
    <w:rsid w:val="00B63184"/>
    <w:rsid w:val="00B66C53"/>
    <w:rsid w:val="00B71A6B"/>
    <w:rsid w:val="00B9383C"/>
    <w:rsid w:val="00BA0CFD"/>
    <w:rsid w:val="00BA2442"/>
    <w:rsid w:val="00BA451C"/>
    <w:rsid w:val="00BA4A18"/>
    <w:rsid w:val="00BB0B9A"/>
    <w:rsid w:val="00BB1256"/>
    <w:rsid w:val="00BB1D46"/>
    <w:rsid w:val="00BB7064"/>
    <w:rsid w:val="00BB774D"/>
    <w:rsid w:val="00BB7F1F"/>
    <w:rsid w:val="00BC094B"/>
    <w:rsid w:val="00BC7DEA"/>
    <w:rsid w:val="00BD0F87"/>
    <w:rsid w:val="00BD3741"/>
    <w:rsid w:val="00BD659D"/>
    <w:rsid w:val="00BD6845"/>
    <w:rsid w:val="00BE78D7"/>
    <w:rsid w:val="00BF34A0"/>
    <w:rsid w:val="00BF613C"/>
    <w:rsid w:val="00C062AC"/>
    <w:rsid w:val="00C066D6"/>
    <w:rsid w:val="00C15E75"/>
    <w:rsid w:val="00C314F6"/>
    <w:rsid w:val="00C31CF0"/>
    <w:rsid w:val="00C3349B"/>
    <w:rsid w:val="00C339CB"/>
    <w:rsid w:val="00C351F0"/>
    <w:rsid w:val="00C41C67"/>
    <w:rsid w:val="00C52C8F"/>
    <w:rsid w:val="00C61AB5"/>
    <w:rsid w:val="00C707AD"/>
    <w:rsid w:val="00C7722D"/>
    <w:rsid w:val="00C77EA1"/>
    <w:rsid w:val="00C80BC6"/>
    <w:rsid w:val="00C828A5"/>
    <w:rsid w:val="00C87764"/>
    <w:rsid w:val="00C9336D"/>
    <w:rsid w:val="00CB10AB"/>
    <w:rsid w:val="00CB31DD"/>
    <w:rsid w:val="00CB345E"/>
    <w:rsid w:val="00CB405F"/>
    <w:rsid w:val="00CB4E9C"/>
    <w:rsid w:val="00CC1829"/>
    <w:rsid w:val="00CC20B9"/>
    <w:rsid w:val="00CD3F95"/>
    <w:rsid w:val="00CD79B6"/>
    <w:rsid w:val="00CE3295"/>
    <w:rsid w:val="00CE5AF8"/>
    <w:rsid w:val="00CE7057"/>
    <w:rsid w:val="00CE74A5"/>
    <w:rsid w:val="00CF7B18"/>
    <w:rsid w:val="00D0314E"/>
    <w:rsid w:val="00D0670E"/>
    <w:rsid w:val="00D17F46"/>
    <w:rsid w:val="00D3247E"/>
    <w:rsid w:val="00D341E9"/>
    <w:rsid w:val="00D54F8C"/>
    <w:rsid w:val="00D559A1"/>
    <w:rsid w:val="00D603A0"/>
    <w:rsid w:val="00D65FC3"/>
    <w:rsid w:val="00D71DA1"/>
    <w:rsid w:val="00D7266B"/>
    <w:rsid w:val="00D726EE"/>
    <w:rsid w:val="00D740C3"/>
    <w:rsid w:val="00D76091"/>
    <w:rsid w:val="00D82541"/>
    <w:rsid w:val="00D86F09"/>
    <w:rsid w:val="00D92F49"/>
    <w:rsid w:val="00DA1666"/>
    <w:rsid w:val="00DB0476"/>
    <w:rsid w:val="00DB0E9F"/>
    <w:rsid w:val="00DC74E2"/>
    <w:rsid w:val="00DD1598"/>
    <w:rsid w:val="00DF5886"/>
    <w:rsid w:val="00E11DC1"/>
    <w:rsid w:val="00E12C97"/>
    <w:rsid w:val="00E2078E"/>
    <w:rsid w:val="00E213EC"/>
    <w:rsid w:val="00E257EC"/>
    <w:rsid w:val="00E36308"/>
    <w:rsid w:val="00E3688D"/>
    <w:rsid w:val="00E40150"/>
    <w:rsid w:val="00E40188"/>
    <w:rsid w:val="00E50656"/>
    <w:rsid w:val="00E51BD4"/>
    <w:rsid w:val="00E55D14"/>
    <w:rsid w:val="00E56C73"/>
    <w:rsid w:val="00E63EB1"/>
    <w:rsid w:val="00E656BD"/>
    <w:rsid w:val="00E65EF4"/>
    <w:rsid w:val="00E717C0"/>
    <w:rsid w:val="00E82C67"/>
    <w:rsid w:val="00E9317F"/>
    <w:rsid w:val="00E94DA6"/>
    <w:rsid w:val="00EA13F6"/>
    <w:rsid w:val="00EA1548"/>
    <w:rsid w:val="00EA3E63"/>
    <w:rsid w:val="00EA50FB"/>
    <w:rsid w:val="00EA657B"/>
    <w:rsid w:val="00EC192B"/>
    <w:rsid w:val="00ED1177"/>
    <w:rsid w:val="00ED3785"/>
    <w:rsid w:val="00ED455B"/>
    <w:rsid w:val="00ED5ADA"/>
    <w:rsid w:val="00EE5B9D"/>
    <w:rsid w:val="00EE7E2D"/>
    <w:rsid w:val="00EF3F9A"/>
    <w:rsid w:val="00EF71D8"/>
    <w:rsid w:val="00EF7625"/>
    <w:rsid w:val="00F00DB8"/>
    <w:rsid w:val="00F04FFD"/>
    <w:rsid w:val="00F17C0D"/>
    <w:rsid w:val="00F17F66"/>
    <w:rsid w:val="00F24058"/>
    <w:rsid w:val="00F255A1"/>
    <w:rsid w:val="00F42A66"/>
    <w:rsid w:val="00F46349"/>
    <w:rsid w:val="00F471AD"/>
    <w:rsid w:val="00F5251D"/>
    <w:rsid w:val="00F53DBE"/>
    <w:rsid w:val="00F55ACB"/>
    <w:rsid w:val="00F64D64"/>
    <w:rsid w:val="00F7455E"/>
    <w:rsid w:val="00F7754A"/>
    <w:rsid w:val="00F81787"/>
    <w:rsid w:val="00F8652F"/>
    <w:rsid w:val="00F91948"/>
    <w:rsid w:val="00F93217"/>
    <w:rsid w:val="00F94266"/>
    <w:rsid w:val="00F95E55"/>
    <w:rsid w:val="00FB1F92"/>
    <w:rsid w:val="00FB35EF"/>
    <w:rsid w:val="00FB74B5"/>
    <w:rsid w:val="00FC16D7"/>
    <w:rsid w:val="00FC2756"/>
    <w:rsid w:val="00FC2D59"/>
    <w:rsid w:val="00FC30BB"/>
    <w:rsid w:val="00FD3A36"/>
    <w:rsid w:val="00FD7D4F"/>
    <w:rsid w:val="00FE1A6A"/>
    <w:rsid w:val="00FE6CCF"/>
    <w:rsid w:val="00FF1370"/>
    <w:rsid w:val="00FF68B5"/>
    <w:rsid w:val="00FF70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1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C74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401F21"/>
    <w:pPr>
      <w:keepNext/>
      <w:keepLines/>
      <w:numPr>
        <w:numId w:val="16"/>
      </w:numPr>
      <w:spacing w:before="120" w:after="0"/>
      <w:ind w:left="714" w:hanging="357"/>
      <w:outlineLvl w:val="1"/>
    </w:pPr>
    <w:rPr>
      <w:rFonts w:asciiTheme="majorHAnsi" w:eastAsiaTheme="majorEastAsia" w:hAnsiTheme="majorHAnsi" w:cstheme="majorBidi"/>
      <w:smallCaps/>
      <w:color w:val="2F5496" w:themeColor="accent1" w:themeShade="BF"/>
      <w:sz w:val="28"/>
      <w:szCs w:val="28"/>
    </w:rPr>
  </w:style>
  <w:style w:type="paragraph" w:styleId="Naslov3">
    <w:name w:val="heading 3"/>
    <w:basedOn w:val="Navaden"/>
    <w:next w:val="Navaden"/>
    <w:link w:val="Naslov3Znak"/>
    <w:uiPriority w:val="9"/>
    <w:unhideWhenUsed/>
    <w:qFormat/>
    <w:rsid w:val="00882497"/>
    <w:pPr>
      <w:keepNext/>
      <w:keepLines/>
      <w:numPr>
        <w:numId w:val="17"/>
      </w:numPr>
      <w:spacing w:before="120" w:after="80"/>
      <w:ind w:left="714" w:hanging="357"/>
      <w:outlineLvl w:val="2"/>
    </w:pPr>
    <w:rPr>
      <w:rFonts w:asciiTheme="majorHAnsi" w:eastAsiaTheme="majorEastAsia" w:hAnsiTheme="majorHAnsi" w:cstheme="majorBidi"/>
      <w:color w:val="1F3763" w:themeColor="accent1" w:themeShade="7F"/>
      <w:sz w:val="26"/>
      <w:szCs w:val="26"/>
    </w:rPr>
  </w:style>
  <w:style w:type="paragraph" w:styleId="Naslov4">
    <w:name w:val="heading 4"/>
    <w:next w:val="Navaden"/>
    <w:link w:val="Naslov4Znak"/>
    <w:uiPriority w:val="9"/>
    <w:unhideWhenUsed/>
    <w:qFormat/>
    <w:rsid w:val="00533BC0"/>
    <w:pPr>
      <w:keepNext/>
      <w:keepLines/>
      <w:spacing w:after="137"/>
      <w:ind w:left="238" w:hanging="10"/>
      <w:outlineLvl w:val="3"/>
    </w:pPr>
    <w:rPr>
      <w:rFonts w:ascii="Arial" w:eastAsia="Arial" w:hAnsi="Arial" w:cs="Arial"/>
      <w:b/>
      <w:color w:val="00000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uiPriority w:val="9"/>
    <w:rsid w:val="00533BC0"/>
    <w:rPr>
      <w:rFonts w:ascii="Arial" w:eastAsia="Arial" w:hAnsi="Arial" w:cs="Arial"/>
      <w:b/>
      <w:color w:val="000000"/>
      <w:lang w:eastAsia="sl-SI"/>
    </w:rPr>
  </w:style>
  <w:style w:type="paragraph" w:styleId="Odstavekseznama">
    <w:name w:val="List Paragraph"/>
    <w:aliases w:val="seznam,Bullet Number,S-List Paragraph,Diligence Check,Use Case List Paragraph,Heading2"/>
    <w:basedOn w:val="Navaden"/>
    <w:link w:val="OdstavekseznamaZnak"/>
    <w:uiPriority w:val="1"/>
    <w:qFormat/>
    <w:rsid w:val="00533BC0"/>
    <w:pPr>
      <w:ind w:left="720"/>
      <w:contextualSpacing/>
    </w:pPr>
  </w:style>
  <w:style w:type="paragraph" w:styleId="Glava">
    <w:name w:val="header"/>
    <w:basedOn w:val="Navaden"/>
    <w:link w:val="GlavaZnak"/>
    <w:uiPriority w:val="99"/>
    <w:unhideWhenUsed/>
    <w:rsid w:val="00533BC0"/>
    <w:pPr>
      <w:tabs>
        <w:tab w:val="center" w:pos="4536"/>
        <w:tab w:val="right" w:pos="9072"/>
      </w:tabs>
      <w:spacing w:after="0" w:line="240" w:lineRule="auto"/>
    </w:pPr>
    <w:rPr>
      <w:rFonts w:ascii="Times New Roman" w:eastAsia="PMingLiU" w:hAnsi="Times New Roman" w:cs="Times New Roman"/>
      <w:lang w:val="en-US"/>
    </w:rPr>
  </w:style>
  <w:style w:type="character" w:customStyle="1" w:styleId="GlavaZnak">
    <w:name w:val="Glava Znak"/>
    <w:basedOn w:val="Privzetapisavaodstavka"/>
    <w:link w:val="Glava"/>
    <w:uiPriority w:val="99"/>
    <w:rsid w:val="00533BC0"/>
    <w:rPr>
      <w:rFonts w:ascii="Times New Roman" w:eastAsia="PMingLiU" w:hAnsi="Times New Roman" w:cs="Times New Roman"/>
      <w:lang w:val="en-US"/>
    </w:rPr>
  </w:style>
  <w:style w:type="paragraph" w:styleId="Noga">
    <w:name w:val="footer"/>
    <w:basedOn w:val="Navaden"/>
    <w:link w:val="NogaZnak"/>
    <w:uiPriority w:val="99"/>
    <w:unhideWhenUsed/>
    <w:rsid w:val="00533BC0"/>
    <w:pPr>
      <w:tabs>
        <w:tab w:val="center" w:pos="4536"/>
        <w:tab w:val="right" w:pos="9072"/>
      </w:tabs>
      <w:spacing w:after="0" w:line="240" w:lineRule="auto"/>
    </w:pPr>
    <w:rPr>
      <w:rFonts w:ascii="Times New Roman" w:eastAsia="PMingLiU" w:hAnsi="Times New Roman" w:cs="Times New Roman"/>
      <w:lang w:val="en-US"/>
    </w:rPr>
  </w:style>
  <w:style w:type="character" w:customStyle="1" w:styleId="NogaZnak">
    <w:name w:val="Noga Znak"/>
    <w:basedOn w:val="Privzetapisavaodstavka"/>
    <w:link w:val="Noga"/>
    <w:uiPriority w:val="99"/>
    <w:rsid w:val="00533BC0"/>
    <w:rPr>
      <w:rFonts w:ascii="Times New Roman" w:eastAsia="PMingLiU" w:hAnsi="Times New Roman" w:cs="Times New Roman"/>
      <w:lang w:val="en-US"/>
    </w:rPr>
  </w:style>
  <w:style w:type="table" w:customStyle="1" w:styleId="TableGrid">
    <w:name w:val="TableGrid"/>
    <w:rsid w:val="00533BC0"/>
    <w:pPr>
      <w:spacing w:after="0" w:line="240" w:lineRule="auto"/>
    </w:pPr>
    <w:rPr>
      <w:rFonts w:eastAsiaTheme="minorEastAsia"/>
      <w:lang w:eastAsia="sl-SI"/>
    </w:rPr>
    <w:tblPr>
      <w:tblCellMar>
        <w:top w:w="0" w:type="dxa"/>
        <w:left w:w="0" w:type="dxa"/>
        <w:bottom w:w="0" w:type="dxa"/>
        <w:right w:w="0" w:type="dxa"/>
      </w:tblCellMar>
    </w:tblPr>
  </w:style>
  <w:style w:type="table" w:styleId="Tabelamrea">
    <w:name w:val="Table Grid"/>
    <w:basedOn w:val="Navadnatabela"/>
    <w:uiPriority w:val="39"/>
    <w:rsid w:val="00533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401F21"/>
    <w:rPr>
      <w:rFonts w:asciiTheme="majorHAnsi" w:eastAsiaTheme="majorEastAsia" w:hAnsiTheme="majorHAnsi" w:cstheme="majorBidi"/>
      <w:smallCaps/>
      <w:color w:val="2F5496" w:themeColor="accent1" w:themeShade="BF"/>
      <w:sz w:val="28"/>
      <w:szCs w:val="28"/>
    </w:rPr>
  </w:style>
  <w:style w:type="character" w:customStyle="1" w:styleId="Naslov3Znak">
    <w:name w:val="Naslov 3 Znak"/>
    <w:basedOn w:val="Privzetapisavaodstavka"/>
    <w:link w:val="Naslov3"/>
    <w:uiPriority w:val="9"/>
    <w:rsid w:val="00882497"/>
    <w:rPr>
      <w:rFonts w:asciiTheme="majorHAnsi" w:eastAsiaTheme="majorEastAsia" w:hAnsiTheme="majorHAnsi" w:cstheme="majorBidi"/>
      <w:color w:val="1F3763" w:themeColor="accent1" w:themeShade="7F"/>
      <w:sz w:val="26"/>
      <w:szCs w:val="26"/>
    </w:rPr>
  </w:style>
  <w:style w:type="character" w:styleId="Pripombasklic">
    <w:name w:val="annotation reference"/>
    <w:basedOn w:val="Privzetapisavaodstavka"/>
    <w:uiPriority w:val="99"/>
    <w:unhideWhenUsed/>
    <w:rsid w:val="004D4F15"/>
    <w:rPr>
      <w:sz w:val="16"/>
      <w:szCs w:val="16"/>
    </w:rPr>
  </w:style>
  <w:style w:type="paragraph" w:styleId="Pripombabesedilo">
    <w:name w:val="annotation text"/>
    <w:basedOn w:val="Navaden"/>
    <w:link w:val="PripombabesediloZnak"/>
    <w:uiPriority w:val="99"/>
    <w:unhideWhenUsed/>
    <w:rsid w:val="004D4F15"/>
    <w:pPr>
      <w:spacing w:line="240" w:lineRule="auto"/>
    </w:pPr>
    <w:rPr>
      <w:sz w:val="20"/>
      <w:szCs w:val="20"/>
    </w:rPr>
  </w:style>
  <w:style w:type="character" w:customStyle="1" w:styleId="PripombabesediloZnak">
    <w:name w:val="Pripomba – besedilo Znak"/>
    <w:basedOn w:val="Privzetapisavaodstavka"/>
    <w:link w:val="Pripombabesedilo"/>
    <w:uiPriority w:val="99"/>
    <w:rsid w:val="004D4F15"/>
    <w:rPr>
      <w:sz w:val="20"/>
      <w:szCs w:val="20"/>
    </w:rPr>
  </w:style>
  <w:style w:type="paragraph" w:styleId="Zadevapripombe">
    <w:name w:val="annotation subject"/>
    <w:basedOn w:val="Pripombabesedilo"/>
    <w:next w:val="Pripombabesedilo"/>
    <w:link w:val="ZadevapripombeZnak"/>
    <w:uiPriority w:val="99"/>
    <w:semiHidden/>
    <w:unhideWhenUsed/>
    <w:rsid w:val="004D4F15"/>
    <w:rPr>
      <w:b/>
      <w:bCs/>
    </w:rPr>
  </w:style>
  <w:style w:type="character" w:customStyle="1" w:styleId="ZadevapripombeZnak">
    <w:name w:val="Zadeva pripombe Znak"/>
    <w:basedOn w:val="PripombabesediloZnak"/>
    <w:link w:val="Zadevapripombe"/>
    <w:uiPriority w:val="99"/>
    <w:semiHidden/>
    <w:rsid w:val="004D4F15"/>
    <w:rPr>
      <w:b/>
      <w:bCs/>
      <w:sz w:val="20"/>
      <w:szCs w:val="20"/>
    </w:rPr>
  </w:style>
  <w:style w:type="paragraph" w:styleId="Besedilooblaka">
    <w:name w:val="Balloon Text"/>
    <w:basedOn w:val="Navaden"/>
    <w:link w:val="BesedilooblakaZnak"/>
    <w:uiPriority w:val="99"/>
    <w:semiHidden/>
    <w:unhideWhenUsed/>
    <w:rsid w:val="004D4F1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D4F15"/>
    <w:rPr>
      <w:rFonts w:ascii="Segoe UI" w:hAnsi="Segoe UI" w:cs="Segoe UI"/>
      <w:sz w:val="18"/>
      <w:szCs w:val="18"/>
    </w:rPr>
  </w:style>
  <w:style w:type="paragraph" w:styleId="Golobesedilo">
    <w:name w:val="Plain Text"/>
    <w:basedOn w:val="Navaden"/>
    <w:link w:val="GolobesediloZnak"/>
    <w:uiPriority w:val="99"/>
    <w:semiHidden/>
    <w:unhideWhenUsed/>
    <w:rsid w:val="004916D6"/>
    <w:pPr>
      <w:spacing w:after="0" w:line="240" w:lineRule="auto"/>
    </w:pPr>
    <w:rPr>
      <w:rFonts w:ascii="Arial" w:eastAsia="Times New Roman" w:hAnsi="Arial"/>
      <w:color w:val="000000" w:themeColor="text1"/>
      <w:sz w:val="20"/>
      <w:szCs w:val="21"/>
    </w:rPr>
  </w:style>
  <w:style w:type="character" w:customStyle="1" w:styleId="GolobesediloZnak">
    <w:name w:val="Golo besedilo Znak"/>
    <w:basedOn w:val="Privzetapisavaodstavka"/>
    <w:link w:val="Golobesedilo"/>
    <w:uiPriority w:val="99"/>
    <w:semiHidden/>
    <w:rsid w:val="004916D6"/>
    <w:rPr>
      <w:rFonts w:ascii="Arial" w:eastAsia="Times New Roman" w:hAnsi="Arial"/>
      <w:color w:val="000000" w:themeColor="text1"/>
      <w:sz w:val="20"/>
      <w:szCs w:val="21"/>
    </w:rPr>
  </w:style>
  <w:style w:type="character" w:customStyle="1" w:styleId="OdstavekseznamaZnak">
    <w:name w:val="Odstavek seznama Znak"/>
    <w:aliases w:val="seznam Znak,Bullet Number Znak,S-List Paragraph Znak,Diligence Check Znak,Use Case List Paragraph Znak,Heading2 Znak"/>
    <w:basedOn w:val="Privzetapisavaodstavka"/>
    <w:link w:val="Odstavekseznama"/>
    <w:uiPriority w:val="34"/>
    <w:locked/>
    <w:rsid w:val="00C61AB5"/>
  </w:style>
  <w:style w:type="paragraph" w:customStyle="1" w:styleId="Besedilo">
    <w:name w:val="Besedilo"/>
    <w:basedOn w:val="Telobesedila"/>
    <w:qFormat/>
    <w:rsid w:val="00C61AB5"/>
    <w:pPr>
      <w:spacing w:after="0" w:line="240" w:lineRule="auto"/>
      <w:jc w:val="both"/>
    </w:pPr>
    <w:rPr>
      <w:rFonts w:ascii="Arial" w:eastAsia="Times New Roman" w:hAnsi="Arial" w:cs="Tahoma"/>
      <w:sz w:val="20"/>
      <w:szCs w:val="28"/>
      <w:lang w:eastAsia="sl-SI"/>
    </w:rPr>
  </w:style>
  <w:style w:type="paragraph" w:styleId="Telobesedila">
    <w:name w:val="Body Text"/>
    <w:basedOn w:val="Navaden"/>
    <w:link w:val="TelobesedilaZnak"/>
    <w:uiPriority w:val="99"/>
    <w:semiHidden/>
    <w:unhideWhenUsed/>
    <w:rsid w:val="00C61AB5"/>
    <w:pPr>
      <w:spacing w:after="120"/>
    </w:pPr>
  </w:style>
  <w:style w:type="character" w:customStyle="1" w:styleId="TelobesedilaZnak">
    <w:name w:val="Telo besedila Znak"/>
    <w:basedOn w:val="Privzetapisavaodstavka"/>
    <w:link w:val="Telobesedila"/>
    <w:uiPriority w:val="99"/>
    <w:semiHidden/>
    <w:rsid w:val="00C61AB5"/>
  </w:style>
  <w:style w:type="paragraph" w:styleId="Konnaopomba-besedilo">
    <w:name w:val="endnote text"/>
    <w:basedOn w:val="Navaden"/>
    <w:link w:val="Konnaopomba-besediloZnak"/>
    <w:uiPriority w:val="99"/>
    <w:semiHidden/>
    <w:unhideWhenUsed/>
    <w:rsid w:val="003D60CC"/>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D60CC"/>
    <w:rPr>
      <w:sz w:val="20"/>
      <w:szCs w:val="20"/>
    </w:rPr>
  </w:style>
  <w:style w:type="character" w:styleId="Konnaopomba-sklic">
    <w:name w:val="endnote reference"/>
    <w:basedOn w:val="Privzetapisavaodstavka"/>
    <w:uiPriority w:val="99"/>
    <w:semiHidden/>
    <w:unhideWhenUsed/>
    <w:rsid w:val="003D60CC"/>
    <w:rPr>
      <w:vertAlign w:val="superscript"/>
    </w:rPr>
  </w:style>
  <w:style w:type="paragraph" w:styleId="Napis">
    <w:name w:val="caption"/>
    <w:basedOn w:val="Navaden"/>
    <w:next w:val="Navaden"/>
    <w:uiPriority w:val="35"/>
    <w:unhideWhenUsed/>
    <w:qFormat/>
    <w:rsid w:val="00FF1370"/>
    <w:pPr>
      <w:spacing w:after="200" w:line="240" w:lineRule="auto"/>
    </w:pPr>
    <w:rPr>
      <w:i/>
      <w:iCs/>
      <w:color w:val="44546A" w:themeColor="text2"/>
      <w:sz w:val="18"/>
      <w:szCs w:val="18"/>
    </w:rPr>
  </w:style>
  <w:style w:type="paragraph" w:styleId="Sprotnaopomba-besedilo">
    <w:name w:val="footnote text"/>
    <w:basedOn w:val="Navaden"/>
    <w:link w:val="Sprotnaopomba-besediloZnak"/>
    <w:uiPriority w:val="99"/>
    <w:semiHidden/>
    <w:unhideWhenUsed/>
    <w:rsid w:val="004409B7"/>
    <w:pPr>
      <w:spacing w:after="0" w:line="240" w:lineRule="auto"/>
      <w:jc w:val="both"/>
    </w:pPr>
    <w:rPr>
      <w:rFonts w:ascii="Arial" w:hAnsi="Arial"/>
      <w:sz w:val="20"/>
      <w:szCs w:val="20"/>
    </w:rPr>
  </w:style>
  <w:style w:type="character" w:customStyle="1" w:styleId="Sprotnaopomba-besediloZnak">
    <w:name w:val="Sprotna opomba - besedilo Znak"/>
    <w:basedOn w:val="Privzetapisavaodstavka"/>
    <w:link w:val="Sprotnaopomba-besedilo"/>
    <w:uiPriority w:val="99"/>
    <w:semiHidden/>
    <w:rsid w:val="004409B7"/>
    <w:rPr>
      <w:rFonts w:ascii="Arial" w:hAnsi="Arial"/>
      <w:sz w:val="20"/>
      <w:szCs w:val="20"/>
    </w:rPr>
  </w:style>
  <w:style w:type="character" w:styleId="Sprotnaopomba-sklic">
    <w:name w:val="footnote reference"/>
    <w:basedOn w:val="Privzetapisavaodstavka"/>
    <w:uiPriority w:val="99"/>
    <w:semiHidden/>
    <w:unhideWhenUsed/>
    <w:rsid w:val="004409B7"/>
    <w:rPr>
      <w:vertAlign w:val="superscript"/>
    </w:rPr>
  </w:style>
  <w:style w:type="table" w:customStyle="1" w:styleId="MediumGrid1-Accent31">
    <w:name w:val="Medium Grid 1 - Accent 31"/>
    <w:basedOn w:val="Navadnatabela"/>
    <w:next w:val="Srednjamrea1poudarek3"/>
    <w:uiPriority w:val="67"/>
    <w:rsid w:val="004409B7"/>
    <w:pPr>
      <w:spacing w:after="0" w:line="240" w:lineRule="auto"/>
    </w:pPr>
    <w:rPr>
      <w:rFonts w:eastAsiaTheme="minorEastAsia"/>
      <w:lang w:eastAsia="zh-C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Srednjamrea1poudarek3">
    <w:name w:val="Medium Grid 1 Accent 3"/>
    <w:basedOn w:val="Navadnatabela"/>
    <w:uiPriority w:val="67"/>
    <w:semiHidden/>
    <w:unhideWhenUsed/>
    <w:rsid w:val="004409B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customStyle="1" w:styleId="MOJNavaden">
    <w:name w:val="MOJ Navaden"/>
    <w:basedOn w:val="Navaden"/>
    <w:link w:val="MOJNavadenZnak"/>
    <w:qFormat/>
    <w:rsid w:val="00FE6CCF"/>
    <w:pPr>
      <w:spacing w:after="120" w:line="240" w:lineRule="auto"/>
      <w:jc w:val="both"/>
    </w:pPr>
    <w:rPr>
      <w:rFonts w:eastAsia="Times New Roman" w:cs="Times New Roman"/>
      <w:szCs w:val="24"/>
      <w:lang w:eastAsia="sl-SI"/>
    </w:rPr>
  </w:style>
  <w:style w:type="character" w:customStyle="1" w:styleId="MOJNavadenZnak">
    <w:name w:val="MOJ Navaden Znak"/>
    <w:basedOn w:val="Privzetapisavaodstavka"/>
    <w:link w:val="MOJNavaden"/>
    <w:rsid w:val="00FE6CCF"/>
    <w:rPr>
      <w:rFonts w:eastAsia="Times New Roman" w:cs="Times New Roman"/>
      <w:szCs w:val="24"/>
      <w:lang w:eastAsia="sl-SI"/>
    </w:rPr>
  </w:style>
  <w:style w:type="paragraph" w:customStyle="1" w:styleId="Vsebinatabele">
    <w:name w:val="Vsebina tabele"/>
    <w:basedOn w:val="Navaden"/>
    <w:rsid w:val="002A1325"/>
    <w:pPr>
      <w:widowControl w:val="0"/>
      <w:suppressLineNumbers/>
      <w:suppressAutoHyphens/>
      <w:spacing w:after="0" w:line="240" w:lineRule="auto"/>
      <w:jc w:val="both"/>
    </w:pPr>
    <w:rPr>
      <w:rFonts w:ascii="Times New Roman" w:eastAsia="Droid Sans" w:hAnsi="Times New Roman" w:cs="Lohit Hindi"/>
      <w:kern w:val="1"/>
      <w:sz w:val="24"/>
      <w:szCs w:val="24"/>
      <w:lang w:eastAsia="zh-CN" w:bidi="hi-IN"/>
    </w:rPr>
  </w:style>
  <w:style w:type="paragraph" w:customStyle="1" w:styleId="MOJNaslov-1">
    <w:name w:val="MOJ Naslov-1"/>
    <w:basedOn w:val="Navaden"/>
    <w:next w:val="MOJNavaden"/>
    <w:autoRedefine/>
    <w:rsid w:val="002A1325"/>
    <w:pPr>
      <w:widowControl w:val="0"/>
      <w:numPr>
        <w:numId w:val="4"/>
      </w:numPr>
      <w:spacing w:before="240" w:after="120" w:line="360" w:lineRule="auto"/>
      <w:outlineLvl w:val="0"/>
    </w:pPr>
    <w:rPr>
      <w:rFonts w:ascii="Calibri" w:eastAsia="Times New Roman" w:hAnsi="Calibri" w:cs="Arial"/>
      <w:b/>
      <w:bCs/>
      <w:caps/>
      <w:color w:val="000000" w:themeColor="text1"/>
      <w:sz w:val="28"/>
      <w:szCs w:val="32"/>
      <w:lang w:eastAsia="sl-SI"/>
    </w:rPr>
  </w:style>
  <w:style w:type="paragraph" w:customStyle="1" w:styleId="MOJNaslov-2">
    <w:name w:val="MOJ Naslov-2"/>
    <w:basedOn w:val="MOJNaslov-1"/>
    <w:next w:val="MOJNavaden"/>
    <w:link w:val="MOJNaslov-2Znak"/>
    <w:autoRedefine/>
    <w:rsid w:val="002A1325"/>
    <w:pPr>
      <w:keepNext/>
      <w:numPr>
        <w:ilvl w:val="1"/>
      </w:numPr>
      <w:spacing w:before="480"/>
      <w:ind w:left="578" w:hanging="578"/>
      <w:outlineLvl w:val="1"/>
    </w:pPr>
    <w:rPr>
      <w:sz w:val="24"/>
      <w:szCs w:val="22"/>
    </w:rPr>
  </w:style>
  <w:style w:type="paragraph" w:customStyle="1" w:styleId="MOJNaslov-3">
    <w:name w:val="MOJ Naslov-3"/>
    <w:basedOn w:val="MOJNaslov-2"/>
    <w:next w:val="MOJNavaden"/>
    <w:rsid w:val="002A1325"/>
    <w:pPr>
      <w:numPr>
        <w:ilvl w:val="2"/>
      </w:numPr>
      <w:tabs>
        <w:tab w:val="num" w:pos="360"/>
        <w:tab w:val="num" w:pos="720"/>
      </w:tabs>
      <w:ind w:left="1800" w:hanging="360"/>
    </w:pPr>
    <w:rPr>
      <w:caps w:val="0"/>
      <w:sz w:val="22"/>
      <w:szCs w:val="26"/>
    </w:rPr>
  </w:style>
  <w:style w:type="paragraph" w:customStyle="1" w:styleId="MOJNaslov-4">
    <w:name w:val="MOJ Naslov-4"/>
    <w:basedOn w:val="MOJNaslov-3"/>
    <w:next w:val="Makrobesedilo"/>
    <w:rsid w:val="002A1325"/>
    <w:pPr>
      <w:numPr>
        <w:ilvl w:val="3"/>
      </w:numPr>
      <w:tabs>
        <w:tab w:val="num" w:pos="360"/>
        <w:tab w:val="num" w:pos="720"/>
      </w:tabs>
      <w:ind w:left="720" w:hanging="360"/>
    </w:pPr>
    <w:rPr>
      <w:i/>
      <w:iCs/>
      <w:sz w:val="24"/>
      <w:szCs w:val="24"/>
    </w:rPr>
  </w:style>
  <w:style w:type="character" w:customStyle="1" w:styleId="MOJNaslov-2Znak">
    <w:name w:val="MOJ Naslov-2 Znak"/>
    <w:link w:val="MOJNaslov-2"/>
    <w:rsid w:val="002A1325"/>
    <w:rPr>
      <w:rFonts w:ascii="Calibri" w:eastAsia="Times New Roman" w:hAnsi="Calibri" w:cs="Arial"/>
      <w:b/>
      <w:bCs/>
      <w:caps/>
      <w:color w:val="000000" w:themeColor="text1"/>
      <w:sz w:val="24"/>
      <w:lang w:eastAsia="sl-SI"/>
    </w:rPr>
  </w:style>
  <w:style w:type="paragraph" w:styleId="Makrobesedilo">
    <w:name w:val="macro"/>
    <w:link w:val="MakrobesediloZnak"/>
    <w:uiPriority w:val="99"/>
    <w:semiHidden/>
    <w:unhideWhenUsed/>
    <w:rsid w:val="002A132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besediloZnak">
    <w:name w:val="Makro besedilo Znak"/>
    <w:basedOn w:val="Privzetapisavaodstavka"/>
    <w:link w:val="Makrobesedilo"/>
    <w:uiPriority w:val="99"/>
    <w:semiHidden/>
    <w:rsid w:val="002A1325"/>
    <w:rPr>
      <w:rFonts w:ascii="Consolas" w:hAnsi="Consolas"/>
      <w:sz w:val="20"/>
      <w:szCs w:val="20"/>
    </w:rPr>
  </w:style>
  <w:style w:type="paragraph" w:customStyle="1" w:styleId="Default">
    <w:name w:val="Default"/>
    <w:rsid w:val="001F1062"/>
    <w:pPr>
      <w:autoSpaceDE w:val="0"/>
      <w:autoSpaceDN w:val="0"/>
      <w:adjustRightInd w:val="0"/>
      <w:spacing w:after="0" w:line="240" w:lineRule="auto"/>
    </w:pPr>
    <w:rPr>
      <w:rFonts w:ascii="Calibri" w:hAnsi="Calibri" w:cs="Calibri"/>
      <w:color w:val="000000"/>
      <w:sz w:val="24"/>
      <w:szCs w:val="24"/>
    </w:rPr>
  </w:style>
  <w:style w:type="table" w:customStyle="1" w:styleId="TableNormal1">
    <w:name w:val="Table Normal1"/>
    <w:uiPriority w:val="2"/>
    <w:semiHidden/>
    <w:unhideWhenUsed/>
    <w:qFormat/>
    <w:rsid w:val="000F48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0F48BE"/>
    <w:pPr>
      <w:widowControl w:val="0"/>
      <w:autoSpaceDE w:val="0"/>
      <w:autoSpaceDN w:val="0"/>
      <w:spacing w:after="0" w:line="240" w:lineRule="auto"/>
    </w:pPr>
    <w:rPr>
      <w:rFonts w:ascii="Trebuchet MS" w:eastAsia="Trebuchet MS" w:hAnsi="Trebuchet MS" w:cs="Trebuchet MS"/>
    </w:rPr>
  </w:style>
  <w:style w:type="character" w:customStyle="1" w:styleId="Naslov1Znak">
    <w:name w:val="Naslov 1 Znak"/>
    <w:basedOn w:val="Privzetapisavaodstavka"/>
    <w:link w:val="Naslov1"/>
    <w:uiPriority w:val="9"/>
    <w:rsid w:val="00DC74E2"/>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000A1D"/>
    <w:rPr>
      <w:color w:val="0563C1" w:themeColor="hyperlink"/>
      <w:u w:val="single"/>
    </w:rPr>
  </w:style>
  <w:style w:type="character" w:styleId="Nerazreenaomemba">
    <w:name w:val="Unresolved Mention"/>
    <w:basedOn w:val="Privzetapisavaodstavka"/>
    <w:uiPriority w:val="99"/>
    <w:semiHidden/>
    <w:unhideWhenUsed/>
    <w:rsid w:val="00000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59743">
      <w:bodyDiv w:val="1"/>
      <w:marLeft w:val="0"/>
      <w:marRight w:val="0"/>
      <w:marTop w:val="0"/>
      <w:marBottom w:val="0"/>
      <w:divBdr>
        <w:top w:val="none" w:sz="0" w:space="0" w:color="auto"/>
        <w:left w:val="none" w:sz="0" w:space="0" w:color="auto"/>
        <w:bottom w:val="none" w:sz="0" w:space="0" w:color="auto"/>
        <w:right w:val="none" w:sz="0" w:space="0" w:color="auto"/>
      </w:divBdr>
    </w:div>
    <w:div w:id="1171677956">
      <w:bodyDiv w:val="1"/>
      <w:marLeft w:val="0"/>
      <w:marRight w:val="0"/>
      <w:marTop w:val="0"/>
      <w:marBottom w:val="0"/>
      <w:divBdr>
        <w:top w:val="none" w:sz="0" w:space="0" w:color="auto"/>
        <w:left w:val="none" w:sz="0" w:space="0" w:color="auto"/>
        <w:bottom w:val="none" w:sz="0" w:space="0" w:color="auto"/>
        <w:right w:val="none" w:sz="0" w:space="0" w:color="auto"/>
      </w:divBdr>
    </w:div>
    <w:div w:id="1800147672">
      <w:bodyDiv w:val="1"/>
      <w:marLeft w:val="0"/>
      <w:marRight w:val="0"/>
      <w:marTop w:val="0"/>
      <w:marBottom w:val="0"/>
      <w:divBdr>
        <w:top w:val="none" w:sz="0" w:space="0" w:color="auto"/>
        <w:left w:val="none" w:sz="0" w:space="0" w:color="auto"/>
        <w:bottom w:val="none" w:sz="0" w:space="0" w:color="auto"/>
        <w:right w:val="none" w:sz="0" w:space="0" w:color="auto"/>
      </w:divBdr>
    </w:div>
    <w:div w:id="1858734903">
      <w:bodyDiv w:val="1"/>
      <w:marLeft w:val="0"/>
      <w:marRight w:val="0"/>
      <w:marTop w:val="0"/>
      <w:marBottom w:val="0"/>
      <w:divBdr>
        <w:top w:val="none" w:sz="0" w:space="0" w:color="auto"/>
        <w:left w:val="none" w:sz="0" w:space="0" w:color="auto"/>
        <w:bottom w:val="none" w:sz="0" w:space="0" w:color="auto"/>
        <w:right w:val="none" w:sz="0" w:space="0" w:color="auto"/>
      </w:divBdr>
    </w:div>
    <w:div w:id="200069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min.makovec@bolnisnica-go.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A047592BBBD8A4A86D35CE51A1E84F8" ma:contentTypeVersion="4" ma:contentTypeDescription="Ustvari nov dokument." ma:contentTypeScope="" ma:versionID="68743abdde5633739e36c6a3ced37650">
  <xsd:schema xmlns:xsd="http://www.w3.org/2001/XMLSchema" xmlns:xs="http://www.w3.org/2001/XMLSchema" xmlns:p="http://schemas.microsoft.com/office/2006/metadata/properties" targetNamespace="http://schemas.microsoft.com/office/2006/metadata/properties" ma:root="true" ma:fieldsID="27c9752e93aa6aca8a39e27727f81c5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014432-2E2B-4D80-B7A4-610F24837757}">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6940BFC3-73A8-465A-8B36-683639139BD9}">
  <ds:schemaRefs>
    <ds:schemaRef ds:uri="http://schemas.microsoft.com/sharepoint/v3/contenttype/forms"/>
  </ds:schemaRefs>
</ds:datastoreItem>
</file>

<file path=customXml/itemProps3.xml><?xml version="1.0" encoding="utf-8"?>
<ds:datastoreItem xmlns:ds="http://schemas.openxmlformats.org/officeDocument/2006/customXml" ds:itemID="{0FD78B4F-B4AE-4562-A958-C9AEE5E95053}">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EDC7EC8E-1F0C-44BD-BA4C-9401974521AD}">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2383</Words>
  <Characters>13588</Characters>
  <Application>Microsoft Office Word</Application>
  <DocSecurity>0</DocSecurity>
  <Lines>113</Lines>
  <Paragraphs>31</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2023-04-14T06:09:00Z</dcterms:created>
  <dcterms:modified xsi:type="dcterms:W3CDTF">2023-04-19T14:32:00Z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fc6f63-046c-41f3-ba25-1437516571c5_Enabled">
    <vt:lpwstr>True</vt:lpwstr>
  </property>
  <property fmtid="{D5CDD505-2E9C-101B-9397-08002B2CF9AE}" pid="3" name="MSIP_Label_b9fc6f63-046c-41f3-ba25-1437516571c5_SiteId">
    <vt:lpwstr>6b50702c-caff-40f2-86bd-da9c41fd299b</vt:lpwstr>
  </property>
  <property fmtid="{D5CDD505-2E9C-101B-9397-08002B2CF9AE}" pid="4" name="MSIP_Label_b9fc6f63-046c-41f3-ba25-1437516571c5_Owner">
    <vt:lpwstr>LOberski@ts.telekom.si</vt:lpwstr>
  </property>
  <property fmtid="{D5CDD505-2E9C-101B-9397-08002B2CF9AE}" pid="5" name="MSIP_Label_b9fc6f63-046c-41f3-ba25-1437516571c5_SetDate">
    <vt:lpwstr>2020-07-02T09:38:08.3957493Z</vt:lpwstr>
  </property>
  <property fmtid="{D5CDD505-2E9C-101B-9397-08002B2CF9AE}" pid="6" name="MSIP_Label_b9fc6f63-046c-41f3-ba25-1437516571c5_Name">
    <vt:lpwstr>NIZKA ZAUPNOST</vt:lpwstr>
  </property>
  <property fmtid="{D5CDD505-2E9C-101B-9397-08002B2CF9AE}" pid="7" name="MSIP_Label_b9fc6f63-046c-41f3-ba25-1437516571c5_Application">
    <vt:lpwstr>Microsoft Azure Information Protection</vt:lpwstr>
  </property>
  <property fmtid="{D5CDD505-2E9C-101B-9397-08002B2CF9AE}" pid="8" name="MSIP_Label_b9fc6f63-046c-41f3-ba25-1437516571c5_ActionId">
    <vt:lpwstr>d5ff8987-407a-4773-a77f-2ef3699797fe</vt:lpwstr>
  </property>
  <property fmtid="{D5CDD505-2E9C-101B-9397-08002B2CF9AE}" pid="9" name="MSIP_Label_b9fc6f63-046c-41f3-ba25-1437516571c5_Extended_MSFT_Method">
    <vt:lpwstr>Automatic</vt:lpwstr>
  </property>
  <property fmtid="{D5CDD505-2E9C-101B-9397-08002B2CF9AE}" pid="10" name="Sensitivity">
    <vt:lpwstr>NIZKA ZAUPNOST</vt:lpwstr>
  </property>
  <property fmtid="{D5CDD505-2E9C-101B-9397-08002B2CF9AE}" pid="11" name="ContentTypeId">
    <vt:lpwstr>0x010100CA047592BBBD8A4A86D35CE51A1E84F8</vt:lpwstr>
  </property>
</Properties>
</file>