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7867"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9639"/>
        <w:gridCol w:w="8227"/>
      </w:tblGrid>
      <w:tr>
        <w:trPr/>
        <w:tc>
          <w:tcPr>
            <w:tcW w:w="9639" w:type="dxa"/>
            <w:tcBorders/>
            <w:shd w:color="auto" w:fill="auto" w:val="clear"/>
          </w:tcPr>
          <w:p>
            <w:pPr>
              <w:pStyle w:val="Standard"/>
              <w:widowControl w:val="false"/>
              <w:tabs>
                <w:tab w:val="clear" w:pos="709"/>
                <w:tab w:val="left" w:pos="1134" w:leader="none"/>
                <w:tab w:val="right" w:pos="13042" w:leader="none"/>
              </w:tabs>
              <w:spacing w:lineRule="atLeast" w:line="400"/>
              <w:rPr>
                <w:rFonts w:ascii="Verdana" w:hAnsi="Verdana" w:cs="Tahoma"/>
                <w:color w:val="000000"/>
                <w:sz w:val="18"/>
                <w:szCs w:val="18"/>
              </w:rPr>
            </w:pPr>
            <w:r>
              <w:rPr>
                <w:rFonts w:cs="Tahoma" w:ascii="Verdana" w:hAnsi="Verdana"/>
                <w:color w:val="000000"/>
                <w:sz w:val="18"/>
                <w:szCs w:val="18"/>
              </w:rPr>
              <w:t xml:space="preserve">Dokument: </w:t>
            </w:r>
          </w:p>
        </w:tc>
        <w:tc>
          <w:tcPr>
            <w:tcW w:w="8227" w:type="dxa"/>
            <w:tcBorders/>
            <w:shd w:color="auto" w:fill="auto" w:val="clear"/>
          </w:tcPr>
          <w:p>
            <w:pPr>
              <w:pStyle w:val="Standard"/>
              <w:widowControl w:val="false"/>
              <w:tabs>
                <w:tab w:val="clear" w:pos="709"/>
                <w:tab w:val="left" w:pos="1134" w:leader="none"/>
                <w:tab w:val="right" w:pos="13042" w:leader="none"/>
              </w:tabs>
              <w:spacing w:lineRule="atLeast" w:line="400"/>
              <w:rPr>
                <w:rFonts w:ascii="Arial" w:hAnsi="Arial" w:cs="Tahoma"/>
                <w:color w:val="000000"/>
              </w:rPr>
            </w:pPr>
            <w:r>
              <w:rPr>
                <w:rFonts w:cs="Tahoma" w:ascii="Arial" w:hAnsi="Arial"/>
                <w:color w:val="000000"/>
              </w:rPr>
            </w:r>
          </w:p>
        </w:tc>
      </w:tr>
      <w:tr>
        <w:trPr/>
        <w:tc>
          <w:tcPr>
            <w:tcW w:w="9639" w:type="dxa"/>
            <w:tcBorders/>
            <w:shd w:color="auto" w:fill="auto" w:val="clear"/>
          </w:tcPr>
          <w:p>
            <w:pPr>
              <w:pStyle w:val="Standard"/>
              <w:widowControl w:val="false"/>
              <w:spacing w:lineRule="atLeast" w:line="400"/>
              <w:rPr>
                <w:rFonts w:ascii="Verdana" w:hAnsi="Verdana" w:cs="Tahoma"/>
                <w:sz w:val="18"/>
                <w:szCs w:val="18"/>
              </w:rPr>
            </w:pPr>
            <w:r>
              <w:rPr>
                <w:rFonts w:cs="Tahoma" w:ascii="Verdana" w:hAnsi="Verdana"/>
                <w:sz w:val="18"/>
                <w:szCs w:val="18"/>
              </w:rPr>
              <w:t>Datum: 30.08.2022</w:t>
            </w:r>
          </w:p>
        </w:tc>
        <w:tc>
          <w:tcPr>
            <w:tcW w:w="8227" w:type="dxa"/>
            <w:tcBorders/>
            <w:shd w:color="auto" w:fill="auto" w:val="clear"/>
          </w:tcPr>
          <w:p>
            <w:pPr>
              <w:pStyle w:val="Standard"/>
              <w:widowControl w:val="false"/>
              <w:tabs>
                <w:tab w:val="clear" w:pos="709"/>
                <w:tab w:val="left" w:pos="1134" w:leader="none"/>
                <w:tab w:val="right" w:pos="13042" w:leader="none"/>
              </w:tabs>
              <w:spacing w:lineRule="atLeast" w:line="400"/>
              <w:rPr>
                <w:rFonts w:ascii="Arial" w:hAnsi="Arial"/>
                <w:color w:val="000000"/>
              </w:rPr>
            </w:pPr>
            <w:r>
              <w:rPr>
                <w:rFonts w:ascii="Arial" w:hAnsi="Arial"/>
                <w:color w:val="000000"/>
              </w:rPr>
            </w:r>
          </w:p>
        </w:tc>
      </w:tr>
    </w:tbl>
    <w:p>
      <w:pPr>
        <w:pStyle w:val="Standard"/>
        <w:rPr>
          <w:rFonts w:ascii="Arial" w:hAnsi="Arial"/>
        </w:rPr>
      </w:pPr>
      <w:r>
        <w:rPr>
          <w:rFonts w:ascii="Arial" w:hAnsi="Arial"/>
        </w:rPr>
      </w:r>
    </w:p>
    <w:p>
      <w:pPr>
        <w:pStyle w:val="Standard"/>
        <w:rPr>
          <w:rFonts w:ascii="Verdana" w:hAnsi="Verdana" w:cs="Arial"/>
          <w:b/>
          <w:b/>
          <w:bCs/>
          <w:sz w:val="18"/>
          <w:szCs w:val="18"/>
        </w:rPr>
      </w:pPr>
      <w:r>
        <w:rPr>
          <w:rFonts w:cs="Arial" w:ascii="Verdana" w:hAnsi="Verdana"/>
          <w:b/>
          <w:bCs/>
          <w:sz w:val="18"/>
          <w:szCs w:val="18"/>
        </w:rPr>
        <w:t>POTENCIALNI PONUDNIKI</w:t>
      </w:r>
    </w:p>
    <w:p>
      <w:pPr>
        <w:pStyle w:val="Standard"/>
        <w:rPr>
          <w:rFonts w:ascii="Verdana" w:hAnsi="Verdana" w:cs="Arial"/>
          <w:sz w:val="18"/>
          <w:szCs w:val="18"/>
        </w:rPr>
      </w:pPr>
      <w:r>
        <w:rPr>
          <w:rFonts w:cs="Arial" w:ascii="Verdana" w:hAnsi="Verdana"/>
          <w:sz w:val="18"/>
          <w:szCs w:val="18"/>
        </w:rPr>
      </w:r>
    </w:p>
    <w:p>
      <w:pPr>
        <w:pStyle w:val="Standard"/>
        <w:rPr>
          <w:rFonts w:ascii="Verdana" w:hAnsi="Verdana" w:cs="Arial"/>
          <w:sz w:val="18"/>
          <w:szCs w:val="18"/>
        </w:rPr>
      </w:pPr>
      <w:r>
        <w:rPr>
          <w:rFonts w:cs="Arial" w:ascii="Verdana" w:hAnsi="Verdana"/>
          <w:sz w:val="18"/>
          <w:szCs w:val="18"/>
        </w:rPr>
      </w:r>
    </w:p>
    <w:p>
      <w:pPr>
        <w:pStyle w:val="Normal"/>
        <w:rPr>
          <w:rFonts w:ascii="Calibri" w:hAnsi="Calibri" w:eastAsia="Calibri" w:cs="Calibri" w:eastAsiaTheme="minorHAnsi"/>
          <w:kern w:val="0"/>
          <w:sz w:val="22"/>
          <w:szCs w:val="22"/>
          <w:lang w:eastAsia="en-US" w:bidi="ar-SA"/>
        </w:rPr>
      </w:pPr>
      <w:r>
        <w:rPr>
          <w:rFonts w:eastAsia="Calibri" w:cs="Calibri" w:ascii="Calibri" w:hAnsi="Calibri" w:eastAsiaTheme="minorHAnsi"/>
          <w:kern w:val="0"/>
          <w:sz w:val="22"/>
          <w:szCs w:val="22"/>
          <w:lang w:eastAsia="en-US" w:bidi="ar-SA"/>
        </w:rPr>
        <w:t>Vabimo vas k oddaji ponudbe za</w:t>
      </w:r>
      <w:r>
        <w:rPr>
          <w:rFonts w:eastAsia="Calibri" w:cs="Calibri" w:ascii="Calibri" w:hAnsi="Calibri" w:eastAsiaTheme="minorHAnsi"/>
          <w:kern w:val="0"/>
          <w:sz w:val="22"/>
          <w:szCs w:val="22"/>
          <w:lang w:eastAsia="en-US" w:bidi="ar-SA"/>
        </w:rPr>
        <w:t xml:space="preserve"> </w:t>
      </w:r>
      <w:r>
        <w:rPr>
          <w:rFonts w:eastAsia="Calibri" w:cs="Calibri" w:ascii="Calibri" w:hAnsi="Calibri" w:eastAsiaTheme="minorHAnsi"/>
          <w:b/>
          <w:bCs/>
          <w:kern w:val="0"/>
          <w:sz w:val="22"/>
          <w:szCs w:val="22"/>
          <w:lang w:eastAsia="en-US" w:bidi="ar-SA"/>
        </w:rPr>
        <w:t xml:space="preserve">»Prureditev prostorov radiofarmacije </w:t>
      </w:r>
      <w:r>
        <w:rPr>
          <w:rFonts w:eastAsia="Calibri" w:cs="Calibri" w:ascii="Calibri" w:hAnsi="Calibri" w:eastAsiaTheme="minorHAnsi"/>
          <w:b/>
          <w:bCs/>
          <w:kern w:val="0"/>
          <w:sz w:val="22"/>
          <w:szCs w:val="22"/>
          <w:lang w:eastAsia="en-US" w:bidi="ar-SA"/>
        </w:rPr>
        <w:t>v SB Nova Gorica</w:t>
      </w:r>
      <w:r>
        <w:rPr>
          <w:rFonts w:eastAsia="Calibri" w:cs="Calibri" w:ascii="Calibri" w:hAnsi="Calibri" w:eastAsiaTheme="minorHAnsi"/>
          <w:b/>
          <w:bCs/>
          <w:kern w:val="0"/>
          <w:sz w:val="22"/>
          <w:szCs w:val="22"/>
          <w:lang w:eastAsia="en-US" w:bidi="ar-SA"/>
        </w:rPr>
        <w:t>«</w:t>
      </w:r>
    </w:p>
    <w:p>
      <w:pPr>
        <w:pStyle w:val="Normal"/>
        <w:rPr>
          <w:rFonts w:ascii="Calibri" w:hAnsi="Calibri" w:eastAsia="Calibri" w:cs="Calibri" w:eastAsiaTheme="minorHAnsi"/>
          <w:kern w:val="0"/>
          <w:sz w:val="22"/>
          <w:szCs w:val="22"/>
          <w:lang w:eastAsia="en-US" w:bidi="ar-SA"/>
        </w:rPr>
      </w:pPr>
      <w:r>
        <w:rPr>
          <w:rFonts w:eastAsia="Calibri" w:cs="Calibri" w:eastAsiaTheme="minorHAnsi" w:ascii="Calibri" w:hAnsi="Calibri"/>
          <w:kern w:val="0"/>
          <w:sz w:val="22"/>
          <w:szCs w:val="22"/>
          <w:lang w:eastAsia="en-US" w:bidi="ar-SA"/>
        </w:rPr>
      </w:r>
    </w:p>
    <w:p>
      <w:pPr>
        <w:pStyle w:val="Default"/>
        <w:rPr>
          <w:rFonts w:ascii="Calibri" w:hAnsi="Calibri" w:cs="Calibri"/>
          <w:b/>
          <w:b/>
          <w:bCs/>
          <w:color w:val="auto"/>
          <w:sz w:val="22"/>
          <w:szCs w:val="22"/>
        </w:rPr>
      </w:pPr>
      <w:r>
        <w:rPr>
          <w:rFonts w:cs="Calibri" w:ascii="Calibri" w:hAnsi="Calibri"/>
          <w:b/>
          <w:bCs/>
          <w:color w:val="auto"/>
          <w:sz w:val="22"/>
          <w:szCs w:val="22"/>
        </w:rPr>
        <w:t xml:space="preserve">1. Predmet ponudbe </w:t>
      </w:r>
    </w:p>
    <w:p>
      <w:pPr>
        <w:pStyle w:val="Default"/>
        <w:rPr>
          <w:rFonts w:ascii="Calibri" w:hAnsi="Calibri" w:cs="Calibri"/>
          <w:color w:val="auto"/>
          <w:sz w:val="22"/>
          <w:szCs w:val="22"/>
        </w:rPr>
      </w:pPr>
      <w:r>
        <w:rPr>
          <w:rFonts w:cs="Calibri" w:ascii="Calibri" w:hAnsi="Calibri"/>
          <w:color w:val="auto"/>
          <w:sz w:val="22"/>
          <w:szCs w:val="22"/>
        </w:rPr>
        <w:t>Predmet ponudbe je izvedba preureditve prostorov radiofarmacije za potrebe umestitve nove LAF komore skladno s priloženo skico in popisi del.</w:t>
      </w:r>
    </w:p>
    <w:p>
      <w:pPr>
        <w:pStyle w:val="Default"/>
        <w:rPr>
          <w:rFonts w:ascii="Calibri" w:hAnsi="Calibri" w:cs="Calibri"/>
          <w:color w:val="auto"/>
          <w:sz w:val="22"/>
          <w:szCs w:val="22"/>
        </w:rPr>
      </w:pPr>
      <w:r>
        <w:rPr>
          <w:rFonts w:cs="Calibri" w:ascii="Calibri" w:hAnsi="Calibri"/>
          <w:color w:val="auto"/>
          <w:sz w:val="22"/>
          <w:szCs w:val="22"/>
        </w:rPr>
      </w:r>
    </w:p>
    <w:p>
      <w:pPr>
        <w:pStyle w:val="Default"/>
        <w:rPr>
          <w:rFonts w:ascii="Calibri" w:hAnsi="Calibri" w:cs="Calibri"/>
          <w:b/>
          <w:b/>
          <w:bCs/>
          <w:color w:val="auto"/>
          <w:sz w:val="22"/>
          <w:szCs w:val="22"/>
        </w:rPr>
      </w:pPr>
      <w:r>
        <w:rPr>
          <w:rFonts w:cs="Calibri" w:ascii="Calibri" w:hAnsi="Calibri"/>
          <w:b/>
          <w:bCs/>
          <w:color w:val="auto"/>
          <w:sz w:val="22"/>
          <w:szCs w:val="22"/>
        </w:rPr>
        <w:t xml:space="preserve">2. Obseg storitve </w:t>
      </w:r>
    </w:p>
    <w:p>
      <w:pPr>
        <w:pStyle w:val="Default"/>
        <w:rPr>
          <w:rFonts w:ascii="Calibri" w:hAnsi="Calibri" w:cs="Calibri"/>
          <w:color w:val="auto"/>
          <w:sz w:val="22"/>
          <w:szCs w:val="22"/>
        </w:rPr>
      </w:pPr>
      <w:r>
        <w:rPr>
          <w:rFonts w:cs="Calibri" w:ascii="Calibri" w:hAnsi="Calibri"/>
          <w:color w:val="auto"/>
          <w:sz w:val="22"/>
          <w:szCs w:val="22"/>
        </w:rPr>
        <w:t xml:space="preserve">Na podlagi priložene skice in popisa dela je potrebno izvesti preureditev prostorov radiofarmacije za potrebe umestitve nove LAF komore. Upoštevati je potrebno vse veljavne zakone na tem področju kot tudiProstorsko tehnično smernico TSG-12640-002:2021: Zdravstvene stavbe. </w:t>
      </w:r>
    </w:p>
    <w:p>
      <w:pPr>
        <w:pStyle w:val="Default"/>
        <w:rPr>
          <w:rFonts w:ascii="Calibri" w:hAnsi="Calibri" w:cs="Calibri"/>
          <w:color w:val="auto"/>
          <w:sz w:val="22"/>
          <w:szCs w:val="22"/>
        </w:rPr>
      </w:pPr>
      <w:r>
        <w:rPr>
          <w:rFonts w:cs="Calibri" w:ascii="Calibri" w:hAnsi="Calibri"/>
          <w:color w:val="auto"/>
          <w:sz w:val="22"/>
          <w:szCs w:val="22"/>
        </w:rPr>
      </w:r>
    </w:p>
    <w:p>
      <w:pPr>
        <w:pStyle w:val="Default"/>
        <w:rPr>
          <w:rFonts w:ascii="Calibri" w:hAnsi="Calibri" w:cs="Calibri"/>
          <w:color w:val="auto"/>
          <w:sz w:val="22"/>
          <w:szCs w:val="22"/>
        </w:rPr>
      </w:pPr>
      <w:r>
        <w:rPr>
          <w:rFonts w:cs="Calibri" w:ascii="Calibri" w:hAnsi="Calibri"/>
          <w:color w:val="auto"/>
          <w:sz w:val="22"/>
          <w:szCs w:val="22"/>
        </w:rPr>
        <w:t>Naročnik zagotovi izbranemu ponudniku:</w:t>
      </w:r>
    </w:p>
    <w:p>
      <w:pPr>
        <w:pStyle w:val="Default"/>
        <w:numPr>
          <w:ilvl w:val="0"/>
          <w:numId w:val="1"/>
        </w:numPr>
        <w:rPr>
          <w:rFonts w:ascii="Calibri" w:hAnsi="Calibri" w:cs="Calibri"/>
          <w:color w:val="auto"/>
          <w:sz w:val="22"/>
          <w:szCs w:val="22"/>
        </w:rPr>
      </w:pPr>
      <w:r>
        <w:rPr>
          <w:rFonts w:cs="Calibri" w:ascii="Calibri" w:hAnsi="Calibri"/>
          <w:color w:val="auto"/>
          <w:sz w:val="22"/>
          <w:szCs w:val="22"/>
        </w:rPr>
        <w:t>pojasnila na vprašanja izvajalca v zvezi z izvedbo,</w:t>
      </w:r>
    </w:p>
    <w:p>
      <w:pPr>
        <w:pStyle w:val="Default"/>
        <w:numPr>
          <w:ilvl w:val="0"/>
          <w:numId w:val="1"/>
        </w:numPr>
        <w:rPr>
          <w:rFonts w:ascii="Calibri" w:hAnsi="Calibri" w:cs="Calibri"/>
          <w:color w:val="auto"/>
          <w:sz w:val="22"/>
          <w:szCs w:val="22"/>
        </w:rPr>
      </w:pPr>
      <w:r>
        <w:rPr>
          <w:rFonts w:cs="Calibri" w:ascii="Calibri" w:hAnsi="Calibri"/>
          <w:color w:val="auto"/>
          <w:sz w:val="22"/>
          <w:szCs w:val="22"/>
        </w:rPr>
        <w:t>omogoča večkratne oglede objekta po predhodnem dogovoru,</w:t>
      </w:r>
    </w:p>
    <w:p>
      <w:pPr>
        <w:pStyle w:val="Default"/>
        <w:numPr>
          <w:ilvl w:val="0"/>
          <w:numId w:val="1"/>
        </w:numPr>
        <w:rPr>
          <w:rFonts w:ascii="Calibri" w:hAnsi="Calibri" w:cs="Calibri"/>
          <w:color w:val="auto"/>
          <w:sz w:val="22"/>
          <w:szCs w:val="22"/>
        </w:rPr>
      </w:pPr>
      <w:r>
        <w:rPr>
          <w:rFonts w:cs="Calibri" w:ascii="Calibri" w:hAnsi="Calibri"/>
          <w:color w:val="auto"/>
          <w:sz w:val="22"/>
          <w:szCs w:val="22"/>
        </w:rPr>
        <w:t>koordinatorja za varnost in zdravje pri delu na gradbišču.</w:t>
      </w:r>
    </w:p>
    <w:p>
      <w:pPr>
        <w:pStyle w:val="Default"/>
        <w:rPr>
          <w:rFonts w:ascii="Calibri" w:hAnsi="Calibri" w:cs="Calibri"/>
          <w:b/>
          <w:b/>
          <w:bCs/>
          <w:color w:val="auto"/>
          <w:sz w:val="22"/>
          <w:szCs w:val="22"/>
        </w:rPr>
      </w:pPr>
      <w:r>
        <w:rPr>
          <w:rFonts w:cs="Calibri" w:ascii="Calibri" w:hAnsi="Calibri"/>
          <w:b/>
          <w:bCs/>
          <w:color w:val="auto"/>
          <w:sz w:val="22"/>
          <w:szCs w:val="22"/>
        </w:rPr>
      </w:r>
    </w:p>
    <w:p>
      <w:pPr>
        <w:pStyle w:val="Default"/>
        <w:rPr>
          <w:rFonts w:ascii="Calibri" w:hAnsi="Calibri" w:cs="Calibri"/>
          <w:color w:val="auto"/>
          <w:sz w:val="22"/>
          <w:szCs w:val="22"/>
        </w:rPr>
      </w:pPr>
      <w:r>
        <w:rPr>
          <w:rFonts w:cs="Calibri" w:ascii="Calibri" w:hAnsi="Calibri"/>
          <w:color w:val="auto"/>
          <w:sz w:val="22"/>
          <w:szCs w:val="22"/>
        </w:rPr>
        <w:t>Predhodni ogled objekta je obvezen pred oddajo ponudbe</w:t>
      </w:r>
    </w:p>
    <w:p>
      <w:pPr>
        <w:pStyle w:val="Default"/>
        <w:rPr>
          <w:rFonts w:ascii="Calibri" w:hAnsi="Calibri" w:cs="Calibri"/>
          <w:b/>
          <w:b/>
          <w:bCs/>
          <w:color w:val="auto"/>
          <w:sz w:val="22"/>
          <w:szCs w:val="22"/>
        </w:rPr>
      </w:pPr>
      <w:r>
        <w:rPr>
          <w:rFonts w:cs="Calibri" w:ascii="Calibri" w:hAnsi="Calibri"/>
          <w:b/>
          <w:bCs/>
          <w:color w:val="auto"/>
          <w:sz w:val="22"/>
          <w:szCs w:val="22"/>
        </w:rPr>
      </w:r>
    </w:p>
    <w:p>
      <w:pPr>
        <w:pStyle w:val="Default"/>
        <w:rPr>
          <w:rFonts w:ascii="Calibri" w:hAnsi="Calibri" w:cs="Calibri"/>
          <w:b/>
          <w:b/>
          <w:bCs/>
          <w:color w:val="auto"/>
          <w:sz w:val="22"/>
          <w:szCs w:val="22"/>
        </w:rPr>
      </w:pPr>
      <w:r>
        <w:rPr>
          <w:rFonts w:cs="Calibri" w:ascii="Calibri" w:hAnsi="Calibri"/>
          <w:b/>
          <w:bCs/>
          <w:color w:val="auto"/>
          <w:sz w:val="22"/>
          <w:szCs w:val="22"/>
        </w:rPr>
        <w:t>3. Rok izvedbe</w:t>
      </w:r>
    </w:p>
    <w:p>
      <w:pPr>
        <w:pStyle w:val="Default"/>
        <w:rPr>
          <w:rFonts w:ascii="Calibri" w:hAnsi="Calibri" w:cs="Calibri"/>
          <w:color w:val="auto"/>
          <w:sz w:val="22"/>
          <w:szCs w:val="22"/>
        </w:rPr>
      </w:pPr>
      <w:r>
        <w:rPr>
          <w:rFonts w:cs="Calibri" w:ascii="Calibri" w:hAnsi="Calibri"/>
          <w:color w:val="auto"/>
          <w:sz w:val="22"/>
          <w:szCs w:val="22"/>
        </w:rPr>
        <w:t xml:space="preserve">Ponudbeni rok za izvedbo predmeta ponudbe je 20 delovnih dni po prejemu naročila. </w:t>
      </w:r>
    </w:p>
    <w:p>
      <w:pPr>
        <w:pStyle w:val="Default"/>
        <w:rPr>
          <w:rFonts w:ascii="Calibri" w:hAnsi="Calibri" w:cs="Calibri"/>
          <w:color w:val="auto"/>
          <w:sz w:val="22"/>
          <w:szCs w:val="22"/>
        </w:rPr>
      </w:pPr>
      <w:r>
        <w:rPr>
          <w:rFonts w:cs="Calibri" w:ascii="Calibri" w:hAnsi="Calibri"/>
          <w:color w:val="auto"/>
          <w:sz w:val="22"/>
          <w:szCs w:val="22"/>
        </w:rPr>
      </w:r>
    </w:p>
    <w:p>
      <w:pPr>
        <w:pStyle w:val="Default"/>
        <w:rPr>
          <w:rFonts w:ascii="Calibri" w:hAnsi="Calibri" w:cs="Calibri"/>
          <w:b/>
          <w:b/>
          <w:bCs/>
          <w:color w:val="auto"/>
          <w:sz w:val="22"/>
          <w:szCs w:val="22"/>
        </w:rPr>
      </w:pPr>
      <w:r>
        <w:rPr>
          <w:rFonts w:cs="Calibri" w:ascii="Calibri" w:hAnsi="Calibri"/>
          <w:b/>
          <w:bCs/>
          <w:color w:val="auto"/>
          <w:sz w:val="22"/>
          <w:szCs w:val="22"/>
        </w:rPr>
        <w:t>4. Garancija</w:t>
      </w:r>
    </w:p>
    <w:p>
      <w:pPr>
        <w:pStyle w:val="Default"/>
        <w:rPr>
          <w:rFonts w:ascii="Calibri" w:hAnsi="Calibri" w:cs="Calibri"/>
          <w:color w:val="auto"/>
          <w:sz w:val="22"/>
          <w:szCs w:val="22"/>
        </w:rPr>
      </w:pPr>
      <w:r>
        <w:rPr>
          <w:rFonts w:cs="Calibri" w:ascii="Calibri" w:hAnsi="Calibri"/>
          <w:color w:val="auto"/>
          <w:sz w:val="22"/>
          <w:szCs w:val="22"/>
        </w:rPr>
        <w:t>Izvajalec jamči za solidnost gradnje 5 let in nudi splošni garancijski rok za izvedena dela in vgrajene naprave in opremo 2 leti. Izvajalec je dolžan predložiti:</w:t>
      </w:r>
    </w:p>
    <w:p>
      <w:pPr>
        <w:pStyle w:val="Default"/>
        <w:numPr>
          <w:ilvl w:val="0"/>
          <w:numId w:val="1"/>
        </w:numPr>
        <w:rPr>
          <w:rFonts w:ascii="Calibri" w:hAnsi="Calibri" w:cs="Calibri"/>
          <w:color w:val="auto"/>
          <w:sz w:val="22"/>
          <w:szCs w:val="22"/>
        </w:rPr>
      </w:pPr>
      <w:r>
        <w:rPr>
          <w:rFonts w:cs="Calibri" w:ascii="Calibri" w:hAnsi="Calibri"/>
          <w:color w:val="auto"/>
          <w:sz w:val="22"/>
          <w:szCs w:val="22"/>
        </w:rPr>
        <w:t>garancijo na prvi poziv v višini 10 % od pogodbene vrednosti (z DDV) kot jamstvo za brezhibno delovanje oz. za odpravo napak v garancijski dobi.</w:t>
      </w:r>
    </w:p>
    <w:p>
      <w:pPr>
        <w:pStyle w:val="Default"/>
        <w:numPr>
          <w:ilvl w:val="0"/>
          <w:numId w:val="1"/>
        </w:numPr>
        <w:rPr>
          <w:rFonts w:ascii="Calibri" w:hAnsi="Calibri" w:cs="Calibri"/>
          <w:color w:val="auto"/>
          <w:sz w:val="22"/>
          <w:szCs w:val="22"/>
        </w:rPr>
      </w:pPr>
      <w:r>
        <w:rPr>
          <w:rFonts w:cs="Calibri" w:ascii="Calibri" w:hAnsi="Calibri"/>
          <w:color w:val="auto"/>
          <w:sz w:val="22"/>
          <w:szCs w:val="22"/>
        </w:rPr>
        <w:t>Zavarovalno polico za zavarovanje objektov oz. pogodbenih del ter odgovornosti za čas gradnje od pričetka veljavnosti pogodbe do primopredaje sklenjeno pri zavarovalnici v višini najmanj 50.000 €.</w:t>
      </w:r>
    </w:p>
    <w:p>
      <w:pPr>
        <w:pStyle w:val="Default"/>
        <w:rPr>
          <w:rFonts w:ascii="Calibri" w:hAnsi="Calibri" w:cs="Calibri"/>
          <w:color w:val="auto"/>
          <w:sz w:val="22"/>
          <w:szCs w:val="22"/>
        </w:rPr>
      </w:pPr>
      <w:r>
        <w:rPr>
          <w:rFonts w:cs="Calibri" w:ascii="Calibri" w:hAnsi="Calibri"/>
          <w:color w:val="auto"/>
          <w:sz w:val="22"/>
          <w:szCs w:val="22"/>
        </w:rPr>
      </w:r>
    </w:p>
    <w:p>
      <w:pPr>
        <w:pStyle w:val="Default"/>
        <w:rPr>
          <w:rFonts w:ascii="Calibri" w:hAnsi="Calibri" w:cs="Calibri"/>
          <w:b/>
          <w:b/>
          <w:bCs/>
          <w:color w:val="auto"/>
          <w:sz w:val="22"/>
          <w:szCs w:val="22"/>
        </w:rPr>
      </w:pPr>
      <w:r>
        <w:rPr>
          <w:rFonts w:cs="Calibri" w:ascii="Calibri" w:hAnsi="Calibri"/>
          <w:b/>
          <w:bCs/>
          <w:color w:val="auto"/>
          <w:sz w:val="22"/>
          <w:szCs w:val="22"/>
        </w:rPr>
        <w:t>5. Način plačila</w:t>
      </w:r>
    </w:p>
    <w:p>
      <w:pPr>
        <w:pStyle w:val="Default"/>
        <w:rPr>
          <w:rFonts w:ascii="Calibri" w:hAnsi="Calibri" w:cs="Calibri"/>
          <w:color w:val="auto"/>
          <w:sz w:val="22"/>
          <w:szCs w:val="22"/>
        </w:rPr>
      </w:pPr>
      <w:r>
        <w:rPr>
          <w:rFonts w:cs="Calibri" w:ascii="Calibri" w:hAnsi="Calibri"/>
          <w:color w:val="auto"/>
          <w:sz w:val="22"/>
          <w:szCs w:val="22"/>
        </w:rPr>
        <w:t>30 dni po popravljeni storitvi.</w:t>
      </w:r>
    </w:p>
    <w:p>
      <w:pPr>
        <w:pStyle w:val="Default"/>
        <w:rPr>
          <w:rFonts w:ascii="Calibri" w:hAnsi="Calibri" w:cs="Calibri"/>
          <w:color w:val="auto"/>
          <w:sz w:val="22"/>
          <w:szCs w:val="22"/>
        </w:rPr>
      </w:pPr>
      <w:r>
        <w:rPr/>
      </w:r>
    </w:p>
    <w:p>
      <w:pPr>
        <w:pStyle w:val="Default"/>
        <w:rPr>
          <w:rFonts w:ascii="Calibri" w:hAnsi="Calibri" w:cs="Calibri"/>
          <w:color w:val="auto"/>
          <w:sz w:val="22"/>
          <w:szCs w:val="22"/>
        </w:rPr>
      </w:pPr>
      <w:r>
        <w:rPr>
          <w:rFonts w:cs="Calibri" w:ascii="Calibri" w:hAnsi="Calibri"/>
          <w:color w:val="auto"/>
          <w:sz w:val="22"/>
          <w:szCs w:val="22"/>
        </w:rPr>
        <w:t>Rok za oddajo ponudbe je sreda, 14.9.2022 do 12.00 ure.</w:t>
      </w:r>
    </w:p>
    <w:p>
      <w:pPr>
        <w:pStyle w:val="Default"/>
        <w:rPr>
          <w:rFonts w:ascii="Calibri" w:hAnsi="Calibri" w:cs="Calibri"/>
          <w:color w:val="auto"/>
          <w:sz w:val="22"/>
          <w:szCs w:val="22"/>
        </w:rPr>
      </w:pPr>
      <w:r>
        <w:rPr/>
      </w:r>
    </w:p>
    <w:p>
      <w:pPr>
        <w:pStyle w:val="Default"/>
        <w:rPr>
          <w:rFonts w:ascii="Calibri" w:hAnsi="Calibri" w:cs="Calibri"/>
          <w:color w:val="auto"/>
          <w:sz w:val="22"/>
          <w:szCs w:val="22"/>
        </w:rPr>
      </w:pPr>
      <w:r>
        <w:rPr>
          <w:rFonts w:cs="Calibri" w:ascii="Calibri" w:hAnsi="Calibri"/>
          <w:color w:val="auto"/>
          <w:sz w:val="22"/>
          <w:szCs w:val="22"/>
        </w:rPr>
        <w:t>Za dodatna pojasnila lahko pokličete na tel. 05/33-01-450 – tajništvo TOS-a.</w:t>
      </w:r>
    </w:p>
    <w:p>
      <w:pPr>
        <w:pStyle w:val="Default"/>
        <w:rPr>
          <w:rFonts w:ascii="Calibri" w:hAnsi="Calibri" w:cs="Calibri"/>
          <w:color w:val="auto"/>
          <w:sz w:val="22"/>
          <w:szCs w:val="22"/>
        </w:rPr>
      </w:pPr>
      <w:r>
        <w:rPr/>
      </w:r>
    </w:p>
    <w:p>
      <w:pPr>
        <w:pStyle w:val="Default"/>
        <w:rPr>
          <w:rFonts w:ascii="Calibri" w:hAnsi="Calibri" w:cs="Calibri"/>
          <w:color w:val="auto"/>
          <w:sz w:val="22"/>
          <w:szCs w:val="22"/>
        </w:rPr>
      </w:pPr>
      <w:r>
        <w:rPr>
          <w:rFonts w:cs="Calibri" w:ascii="Calibri" w:hAnsi="Calibri"/>
          <w:color w:val="auto"/>
          <w:sz w:val="22"/>
          <w:szCs w:val="22"/>
        </w:rPr>
        <w:t>Ponudbo pošljite na mail: nabava@bolnisnica-go.si.</w:t>
      </w:r>
    </w:p>
    <w:p>
      <w:pPr>
        <w:pStyle w:val="Default"/>
        <w:rPr>
          <w:rFonts w:ascii="Calibri" w:hAnsi="Calibri" w:cs="Calibri"/>
          <w:color w:val="auto"/>
          <w:sz w:val="22"/>
          <w:szCs w:val="22"/>
        </w:rPr>
      </w:pPr>
      <w:r>
        <w:rPr>
          <w:rFonts w:ascii="Verdana" w:hAnsi="Verdana"/>
          <w:sz w:val="18"/>
          <w:szCs w:val="18"/>
        </w:rPr>
      </w:r>
    </w:p>
    <w:p>
      <w:pPr>
        <w:pStyle w:val="Standard"/>
        <w:rPr>
          <w:rFonts w:ascii="Verdana" w:hAnsi="Verdana"/>
          <w:sz w:val="18"/>
          <w:szCs w:val="18"/>
        </w:rPr>
      </w:pPr>
      <w:r>
        <w:rPr>
          <w:rFonts w:ascii="Verdana" w:hAnsi="Verdana"/>
          <w:sz w:val="18"/>
          <w:szCs w:val="18"/>
        </w:rPr>
      </w:r>
    </w:p>
    <w:p>
      <w:pPr>
        <w:pStyle w:val="Default"/>
        <w:rPr>
          <w:rFonts w:ascii="Calibri" w:hAnsi="Calibri" w:cs="Calibri"/>
          <w:color w:val="auto"/>
          <w:sz w:val="22"/>
          <w:szCs w:val="22"/>
        </w:rPr>
      </w:pPr>
      <w:r>
        <w:rPr>
          <w:rFonts w:ascii="Verdana" w:hAnsi="Verdana"/>
          <w:sz w:val="18"/>
          <w:szCs w:val="18"/>
        </w:rPr>
        <w:tab/>
        <w:tab/>
        <w:tab/>
        <w:tab/>
        <w:tab/>
        <w:tab/>
        <w:tab/>
        <w:tab/>
      </w:r>
      <w:r>
        <w:rPr>
          <w:rFonts w:cs="Calibri" w:ascii="Calibri" w:hAnsi="Calibri"/>
          <w:color w:val="auto"/>
          <w:sz w:val="22"/>
          <w:szCs w:val="22"/>
        </w:rPr>
        <w:t>Dokument pripravil:</w:t>
      </w:r>
    </w:p>
    <w:p>
      <w:pPr>
        <w:pStyle w:val="Default"/>
        <w:rPr>
          <w:rFonts w:ascii="Calibri" w:hAnsi="Calibri" w:cs="Calibri"/>
          <w:color w:val="auto"/>
          <w:sz w:val="22"/>
          <w:szCs w:val="22"/>
        </w:rPr>
      </w:pPr>
      <w:r>
        <w:rPr>
          <w:rFonts w:cs="Calibri" w:ascii="Calibri" w:hAnsi="Calibri"/>
          <w:color w:val="auto"/>
          <w:sz w:val="22"/>
          <w:szCs w:val="22"/>
        </w:rPr>
        <w:tab/>
        <w:t xml:space="preserve">              </w:t>
        <w:tab/>
        <w:tab/>
        <w:tab/>
        <w:tab/>
        <w:tab/>
        <w:tab/>
        <w:tab/>
        <w:t>Branko Podešva, univ.dipl.inž.str.</w:t>
      </w:r>
    </w:p>
    <w:p>
      <w:pPr>
        <w:pStyle w:val="Standard"/>
        <w:spacing w:before="0" w:after="29"/>
        <w:rPr>
          <w:rFonts w:ascii="Arial" w:hAnsi="Arial"/>
          <w:b/>
          <w:b/>
          <w:sz w:val="22"/>
          <w:szCs w:val="22"/>
        </w:rPr>
      </w:pPr>
      <w:r>
        <w:rPr/>
      </w:r>
    </w:p>
    <w:sectPr>
      <w:headerReference w:type="default" r:id="rId2"/>
      <w:type w:val="nextPage"/>
      <w:pgSz w:w="11906" w:h="16838"/>
      <w:pgMar w:left="1417" w:right="844" w:gutter="0" w:header="567" w:top="198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Calibri">
    <w:charset w:val="ee"/>
    <w:family w:val="roman"/>
    <w:pitch w:val="variable"/>
  </w:font>
  <w:font w:name="Tahoma">
    <w:charset w:val="ee"/>
    <w:family w:val="roman"/>
    <w:pitch w:val="variable"/>
  </w:font>
  <w:font w:name="Verdana">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0"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5549"/>
      <w:gridCol w:w="4080"/>
    </w:tblGrid>
    <w:tr>
      <w:trPr/>
      <w:tc>
        <w:tcPr>
          <w:tcW w:w="5549" w:type="dxa"/>
          <w:tcBorders/>
          <w:shd w:color="auto" w:fill="auto" w:val="clear"/>
        </w:tcPr>
        <w:p>
          <w:pPr>
            <w:pStyle w:val="Standard"/>
            <w:widowControl w:val="false"/>
            <w:spacing w:lineRule="exact" w:line="340"/>
            <w:rPr/>
          </w:pPr>
          <w:r>
            <w:rPr/>
          </w:r>
        </w:p>
        <w:p>
          <w:pPr>
            <w:pStyle w:val="Standard"/>
            <w:widowControl w:val="false"/>
            <w:spacing w:lineRule="exact" w:line="340"/>
            <w:rPr/>
          </w:pPr>
          <w:r>
            <w:rPr/>
          </w:r>
        </w:p>
        <w:p>
          <w:pPr>
            <w:pStyle w:val="Standard"/>
            <w:widowControl w:val="false"/>
            <w:spacing w:lineRule="exact" w:line="340"/>
            <w:rPr/>
          </w:pPr>
          <w:r>
            <w:rPr/>
          </w:r>
        </w:p>
        <w:p>
          <w:pPr>
            <w:pStyle w:val="Standard"/>
            <w:widowControl w:val="false"/>
            <w:spacing w:lineRule="exact" w:line="340"/>
            <w:rPr>
              <w:rFonts w:ascii="Tahoma" w:hAnsi="Tahoma" w:cs="Tahoma"/>
              <w:color w:val="000000"/>
            </w:rPr>
          </w:pPr>
          <w:r>
            <w:rPr/>
            <w:drawing>
              <wp:inline distT="0" distB="0" distL="0" distR="0">
                <wp:extent cx="2994025" cy="762000"/>
                <wp:effectExtent l="0" t="0" r="0" b="0"/>
                <wp:docPr id="1"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descr=""/>
                        <pic:cNvPicPr>
                          <a:picLocks noChangeAspect="1" noChangeArrowheads="1"/>
                        </pic:cNvPicPr>
                      </pic:nvPicPr>
                      <pic:blipFill>
                        <a:blip r:embed="rId1"/>
                        <a:stretch>
                          <a:fillRect/>
                        </a:stretch>
                      </pic:blipFill>
                      <pic:spPr bwMode="auto">
                        <a:xfrm>
                          <a:off x="0" y="0"/>
                          <a:ext cx="2994025" cy="762000"/>
                        </a:xfrm>
                        <a:prstGeom prst="rect">
                          <a:avLst/>
                        </a:prstGeom>
                      </pic:spPr>
                    </pic:pic>
                  </a:graphicData>
                </a:graphic>
              </wp:inline>
            </w:drawing>
          </w:r>
        </w:p>
      </w:tc>
      <w:tc>
        <w:tcPr>
          <w:tcW w:w="4080" w:type="dxa"/>
          <w:tcBorders/>
          <w:shd w:color="auto" w:fill="auto" w:val="clear"/>
        </w:tcPr>
        <w:p>
          <w:pPr>
            <w:pStyle w:val="Normal"/>
            <w:widowControl w:val="false"/>
            <w:rPr>
              <w:rFonts w:ascii="Verdana" w:hAnsi="Verdana"/>
              <w:color w:val="008996"/>
              <w:sz w:val="18"/>
              <w:szCs w:val="18"/>
            </w:rPr>
          </w:pPr>
          <w:r>
            <w:rPr>
              <w:rFonts w:ascii="Verdana" w:hAnsi="Verdana"/>
              <w:color w:val="008996"/>
              <w:sz w:val="18"/>
              <w:szCs w:val="18"/>
            </w:rPr>
          </w:r>
        </w:p>
        <w:p>
          <w:pPr>
            <w:pStyle w:val="Normal"/>
            <w:widowControl w:val="false"/>
            <w:rPr>
              <w:rFonts w:ascii="Verdana" w:hAnsi="Verdana"/>
              <w:color w:val="008996"/>
              <w:sz w:val="18"/>
              <w:szCs w:val="18"/>
            </w:rPr>
          </w:pPr>
          <w:r>
            <w:rPr>
              <w:rFonts w:ascii="Verdana" w:hAnsi="Verdana"/>
              <w:color w:val="008996"/>
              <w:sz w:val="18"/>
              <w:szCs w:val="18"/>
            </w:rPr>
            <w:t>Ulica padlih borcev 13a</w:t>
          </w:r>
        </w:p>
        <w:p>
          <w:pPr>
            <w:pStyle w:val="Normal"/>
            <w:widowControl w:val="false"/>
            <w:rPr>
              <w:rFonts w:ascii="Verdana" w:hAnsi="Verdana"/>
              <w:color w:val="008996"/>
              <w:sz w:val="18"/>
              <w:szCs w:val="18"/>
            </w:rPr>
          </w:pPr>
          <w:r>
            <w:rPr>
              <w:rFonts w:ascii="Verdana" w:hAnsi="Verdana"/>
              <w:color w:val="008996"/>
              <w:sz w:val="18"/>
              <w:szCs w:val="18"/>
            </w:rPr>
            <w:t xml:space="preserve">5290 Šempeter pri Gorici </w:t>
          </w:r>
        </w:p>
        <w:p>
          <w:pPr>
            <w:pStyle w:val="Normal"/>
            <w:widowControl w:val="false"/>
            <w:rPr>
              <w:rFonts w:ascii="Verdana" w:hAnsi="Verdana"/>
              <w:sz w:val="16"/>
            </w:rPr>
          </w:pPr>
          <w:r>
            <w:rPr>
              <w:rFonts w:ascii="Verdana" w:hAnsi="Verdana"/>
              <w:sz w:val="16"/>
            </w:rPr>
            <w:t>T: 05 33 01 000 / F: 05 33 01 057</w:t>
          </w:r>
        </w:p>
        <w:p>
          <w:pPr>
            <w:pStyle w:val="Normal"/>
            <w:widowControl w:val="false"/>
            <w:rPr>
              <w:rFonts w:ascii="Verdana" w:hAnsi="Verdana"/>
              <w:sz w:val="16"/>
            </w:rPr>
          </w:pPr>
          <w:r>
            <w:rPr>
              <w:rFonts w:ascii="Verdana" w:hAnsi="Verdana"/>
              <w:sz w:val="16"/>
            </w:rPr>
            <w:t>E: tajnistvo@bolnisnica-go.si</w:t>
          </w:r>
        </w:p>
        <w:p>
          <w:pPr>
            <w:pStyle w:val="Normal"/>
            <w:widowControl w:val="false"/>
            <w:rPr>
              <w:rFonts w:ascii="Verdana" w:hAnsi="Verdana"/>
              <w:sz w:val="16"/>
            </w:rPr>
          </w:pPr>
          <w:r>
            <w:rPr>
              <w:rFonts w:ascii="Verdana" w:hAnsi="Verdana"/>
              <w:sz w:val="16"/>
            </w:rPr>
            <w:t>W: www.bolnisnica-go.si</w:t>
          </w:r>
        </w:p>
        <w:p>
          <w:pPr>
            <w:pStyle w:val="Standard"/>
            <w:widowControl w:val="false"/>
            <w:tabs>
              <w:tab w:val="clear" w:pos="709"/>
              <w:tab w:val="left" w:pos="1469" w:leader="none"/>
            </w:tabs>
            <w:ind w:left="680" w:hanging="397"/>
            <w:rPr>
              <w:rFonts w:ascii="Verdana" w:hAnsi="Verdana" w:cs="Verdana"/>
              <w:color w:val="000000"/>
              <w:spacing w:val="20"/>
              <w:sz w:val="20"/>
              <w:szCs w:val="20"/>
            </w:rPr>
          </w:pPr>
          <w:r>
            <w:rPr>
              <w:rFonts w:cs="Verdana" w:ascii="Verdana" w:hAnsi="Verdana"/>
              <w:color w:val="000000"/>
              <w:spacing w:val="20"/>
              <w:sz w:val="20"/>
              <w:szCs w:val="20"/>
            </w:rPr>
          </w:r>
        </w:p>
      </w:tc>
    </w:tr>
  </w:tbl>
  <w:p>
    <w:pPr>
      <w:pStyle w:val="Glav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sl-SI"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SimSun" w:cs="Arial"/>
      <w:color w:val="auto"/>
      <w:kern w:val="2"/>
      <w:sz w:val="24"/>
      <w:szCs w:val="24"/>
      <w:lang w:val="sl-SI"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Symbol" w:cs="Symbol"/>
    </w:rPr>
  </w:style>
  <w:style w:type="character" w:styleId="WW8Num1z1" w:customStyle="1">
    <w:name w:val="WW8Num1z1"/>
    <w:qFormat/>
    <w:rPr>
      <w:rFonts w:ascii="Courier New" w:hAnsi="Courier New" w:eastAsia="Courier New" w:cs="Courier New"/>
    </w:rPr>
  </w:style>
  <w:style w:type="character" w:styleId="WW8Num1z2" w:customStyle="1">
    <w:name w:val="WW8Num1z2"/>
    <w:qFormat/>
    <w:rPr>
      <w:rFonts w:ascii="Wingdings" w:hAnsi="Wingdings" w:eastAsia="Wingdings" w:cs="Wingdings"/>
    </w:rPr>
  </w:style>
  <w:style w:type="character" w:styleId="WW8Num2z0" w:customStyle="1">
    <w:name w:val="WW8Num2z0"/>
    <w:qFormat/>
    <w:rPr/>
  </w:style>
  <w:style w:type="character" w:styleId="WW8Num2z2" w:customStyle="1">
    <w:name w:val="WW8Num2z2"/>
    <w:qFormat/>
    <w:rPr>
      <w:rFonts w:ascii="Symbol" w:hAnsi="Symbol" w:eastAsia="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2" w:customStyle="1">
    <w:name w:val="WW8Num3z2"/>
    <w:qFormat/>
    <w:rPr>
      <w:rFonts w:ascii="Symbol" w:hAnsi="Symbol" w:eastAsia="Symbol" w:cs="Symbol"/>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2" w:customStyle="1">
    <w:name w:val="WW8Num4z2"/>
    <w:qFormat/>
    <w:rPr>
      <w:rFonts w:ascii="Symbol" w:hAnsi="Symbol" w:eastAsia="Symbol" w:cs="Symbol"/>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2" w:customStyle="1">
    <w:name w:val="WW8Num5z2"/>
    <w:qFormat/>
    <w:rPr>
      <w:rFonts w:ascii="Symbol" w:hAnsi="Symbol" w:eastAsia="Symbol" w:cs="Symbol"/>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Privzetapisavaodstavka1" w:customStyle="1">
    <w:name w:val="Privzeta pisava odstavka1"/>
    <w:qFormat/>
    <w:rPr/>
  </w:style>
  <w:style w:type="character" w:styleId="Internetlink" w:customStyle="1">
    <w:name w:val="Hyperlink"/>
    <w:qFormat/>
    <w:rPr>
      <w:color w:val="0000FF"/>
      <w:u w:val="single"/>
    </w:rPr>
  </w:style>
  <w:style w:type="character" w:styleId="BesedilooblakaZnak" w:customStyle="1">
    <w:name w:val="Besedilo oblačka Znak"/>
    <w:qFormat/>
    <w:rPr>
      <w:rFonts w:ascii="Segoe UI" w:hAnsi="Segoe UI" w:eastAsia="Segoe UI" w:cs="Segoe UI"/>
      <w:sz w:val="18"/>
      <w:szCs w:val="18"/>
    </w:rPr>
  </w:style>
  <w:style w:type="character" w:styleId="GlavaZnak" w:customStyle="1">
    <w:name w:val="Glava Znak"/>
    <w:qFormat/>
    <w:rPr>
      <w:sz w:val="24"/>
      <w:szCs w:val="24"/>
    </w:rPr>
  </w:style>
  <w:style w:type="character" w:styleId="NogaZnak" w:customStyle="1">
    <w:name w:val="Noga Znak"/>
    <w:qFormat/>
    <w:rPr>
      <w:sz w:val="24"/>
      <w:szCs w:val="24"/>
    </w:rPr>
  </w:style>
  <w:style w:type="paragraph" w:styleId="Naslov" w:customStyle="1">
    <w:name w:val="Naslov"/>
    <w:basedOn w:val="Standard"/>
    <w:next w:val="Textbody"/>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76" w:before="0" w:after="140"/>
    </w:pPr>
    <w:rPr/>
  </w:style>
  <w:style w:type="paragraph" w:styleId="Seznam">
    <w:name w:val="List"/>
    <w:basedOn w:val="Textbody"/>
    <w:pPr/>
    <w:rPr>
      <w:rFonts w:cs="Mangal"/>
    </w:rPr>
  </w:style>
  <w:style w:type="paragraph" w:styleId="Napis">
    <w:name w:val="Caption"/>
    <w:basedOn w:val="Normal"/>
    <w:qFormat/>
    <w:pPr>
      <w:suppressLineNumbers/>
      <w:spacing w:before="120" w:after="120"/>
    </w:pPr>
    <w:rPr>
      <w:rFonts w:cs="Arial"/>
      <w:i/>
      <w:iCs/>
      <w:sz w:val="24"/>
      <w:szCs w:val="24"/>
    </w:rPr>
  </w:style>
  <w:style w:type="paragraph" w:styleId="Kazalo" w:customStyle="1">
    <w:name w:val="Kazalo"/>
    <w:basedOn w:val="Standard"/>
    <w:qFormat/>
    <w:pPr>
      <w:suppressLineNumbers/>
    </w:pPr>
    <w:rPr>
      <w:rFonts w:cs="Mang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bidi="ar-SA" w:val="sl-SI" w:eastAsia="zh-CN"/>
    </w:rPr>
  </w:style>
  <w:style w:type="paragraph" w:styleId="Textbody" w:customStyle="1">
    <w:name w:val="Text body"/>
    <w:basedOn w:val="Standard"/>
    <w:qFormat/>
    <w:pPr>
      <w:jc w:val="both"/>
    </w:pPr>
    <w:rPr>
      <w:b/>
      <w:bCs/>
    </w:rPr>
  </w:style>
  <w:style w:type="paragraph" w:styleId="Caption">
    <w:name w:val="caption"/>
    <w:basedOn w:val="Standard"/>
    <w:qFormat/>
    <w:pPr>
      <w:suppressLineNumbers/>
      <w:spacing w:before="120" w:after="120"/>
    </w:pPr>
    <w:rPr>
      <w:rFonts w:cs="Arial"/>
      <w:i/>
      <w:iCs/>
    </w:rPr>
  </w:style>
  <w:style w:type="paragraph" w:styleId="Naslov1" w:customStyle="1">
    <w:name w:val="Naslov1"/>
    <w:basedOn w:val="Standard"/>
    <w:next w:val="Textbody"/>
    <w:qFormat/>
    <w:pPr>
      <w:keepNext w:val="true"/>
      <w:spacing w:before="240" w:after="120"/>
    </w:pPr>
    <w:rPr>
      <w:rFonts w:ascii="Arial" w:hAnsi="Arial" w:eastAsia="Lucida Sans Unicode" w:cs="Mangal"/>
      <w:sz w:val="28"/>
      <w:szCs w:val="28"/>
    </w:rPr>
  </w:style>
  <w:style w:type="paragraph" w:styleId="Napis1" w:customStyle="1">
    <w:name w:val="Napis1"/>
    <w:basedOn w:val="Standard"/>
    <w:qFormat/>
    <w:pPr>
      <w:suppressLineNumbers/>
      <w:spacing w:before="120" w:after="120"/>
    </w:pPr>
    <w:rPr>
      <w:rFonts w:cs="Mangal"/>
      <w:i/>
      <w:iCs/>
    </w:rPr>
  </w:style>
  <w:style w:type="paragraph" w:styleId="BalloonText">
    <w:name w:val="Balloon Text"/>
    <w:basedOn w:val="Standard"/>
    <w:qFormat/>
    <w:pPr/>
    <w:rPr>
      <w:rFonts w:ascii="Segoe UI" w:hAnsi="Segoe UI" w:eastAsia="Segoe UI" w:cs="Segoe UI"/>
      <w:sz w:val="18"/>
      <w:szCs w:val="18"/>
    </w:rPr>
  </w:style>
  <w:style w:type="paragraph" w:styleId="Glavainnoga">
    <w:name w:val="Glava in noga"/>
    <w:basedOn w:val="Normal"/>
    <w:qFormat/>
    <w:pPr/>
    <w:rPr/>
  </w:style>
  <w:style w:type="paragraph" w:styleId="Glava">
    <w:name w:val="Header"/>
    <w:basedOn w:val="Standard"/>
    <w:pPr>
      <w:tabs>
        <w:tab w:val="clear" w:pos="709"/>
        <w:tab w:val="center" w:pos="4536" w:leader="none"/>
        <w:tab w:val="right" w:pos="9072" w:leader="none"/>
      </w:tabs>
    </w:pPr>
    <w:rPr/>
  </w:style>
  <w:style w:type="paragraph" w:styleId="Noga">
    <w:name w:val="Footer"/>
    <w:basedOn w:val="Standard"/>
    <w:pPr>
      <w:tabs>
        <w:tab w:val="clear" w:pos="709"/>
        <w:tab w:val="center" w:pos="4536" w:leader="none"/>
        <w:tab w:val="right" w:pos="9072" w:leader="none"/>
      </w:tabs>
    </w:pPr>
    <w:rPr/>
  </w:style>
  <w:style w:type="paragraph" w:styleId="Vsebinatabele" w:customStyle="1">
    <w:name w:val="Vsebina tabele"/>
    <w:basedOn w:val="Standard"/>
    <w:qFormat/>
    <w:pPr>
      <w:suppressLineNumbers/>
    </w:pPr>
    <w:rPr/>
  </w:style>
  <w:style w:type="paragraph" w:styleId="Naslovtabele" w:customStyle="1">
    <w:name w:val="Naslov tabele"/>
    <w:basedOn w:val="Vsebinatabele"/>
    <w:qFormat/>
    <w:pPr>
      <w:jc w:val="center"/>
    </w:pPr>
    <w:rPr>
      <w:b/>
      <w:bCs/>
    </w:rPr>
  </w:style>
  <w:style w:type="paragraph" w:styleId="WWPrivzeto" w:customStyle="1">
    <w:name w:val="WW-Privzeto"/>
    <w:qFormat/>
    <w:pPr>
      <w:widowControl w:val="false"/>
      <w:suppressAutoHyphens w:val="true"/>
      <w:bidi w:val="0"/>
      <w:spacing w:before="0" w:after="0"/>
      <w:jc w:val="left"/>
      <w:textAlignment w:val="baseline"/>
    </w:pPr>
    <w:rPr>
      <w:rFonts w:ascii="Calibri" w:hAnsi="Calibri" w:eastAsia="Calibri" w:cs="Calibri"/>
      <w:color w:val="auto"/>
      <w:kern w:val="2"/>
      <w:sz w:val="24"/>
      <w:szCs w:val="24"/>
      <w:lang w:val="sl-SI" w:eastAsia="zh-CN" w:bidi="hi-IN"/>
    </w:rPr>
  </w:style>
  <w:style w:type="paragraph" w:styleId="WWPrivzeto1" w:customStyle="1">
    <w:name w:val="WW-Privzeto1"/>
    <w:qFormat/>
    <w:pPr>
      <w:widowControl w:val="false"/>
      <w:suppressAutoHyphens w:val="true"/>
      <w:bidi w:val="0"/>
      <w:spacing w:before="0" w:after="0"/>
      <w:jc w:val="left"/>
      <w:textAlignment w:val="baseline"/>
    </w:pPr>
    <w:rPr>
      <w:rFonts w:ascii="Calibri" w:hAnsi="Calibri" w:eastAsia="Calibri" w:cs="Calibri"/>
      <w:color w:val="auto"/>
      <w:kern w:val="2"/>
      <w:sz w:val="24"/>
      <w:szCs w:val="24"/>
      <w:lang w:val="sl-SI" w:eastAsia="zh-CN" w:bidi="hi-IN"/>
    </w:rPr>
  </w:style>
  <w:style w:type="paragraph" w:styleId="WWPrivzeto12" w:customStyle="1">
    <w:name w:val="WW-Privzeto12"/>
    <w:qFormat/>
    <w:pPr>
      <w:widowControl w:val="false"/>
      <w:suppressAutoHyphens w:val="true"/>
      <w:bidi w:val="0"/>
      <w:spacing w:before="0" w:after="0"/>
      <w:jc w:val="left"/>
      <w:textAlignment w:val="baseline"/>
    </w:pPr>
    <w:rPr>
      <w:rFonts w:ascii="Calibri" w:hAnsi="Calibri" w:eastAsia="Calibri" w:cs="Calibri"/>
      <w:color w:val="auto"/>
      <w:kern w:val="2"/>
      <w:sz w:val="24"/>
      <w:szCs w:val="24"/>
      <w:lang w:val="sl-SI" w:eastAsia="zh-CN" w:bidi="hi-IN"/>
    </w:rPr>
  </w:style>
  <w:style w:type="paragraph" w:styleId="Privzeto" w:customStyle="1">
    <w:name w:val="Privzeto"/>
    <w:qFormat/>
    <w:pPr>
      <w:widowControl w:val="false"/>
      <w:suppressAutoHyphens w:val="true"/>
      <w:bidi w:val="0"/>
      <w:spacing w:before="0" w:after="0"/>
      <w:jc w:val="left"/>
      <w:textAlignment w:val="baseline"/>
    </w:pPr>
    <w:rPr>
      <w:rFonts w:ascii="Calibri" w:hAnsi="Calibri" w:eastAsia="Times New Roman" w:cs="Calibri"/>
      <w:color w:val="auto"/>
      <w:kern w:val="2"/>
      <w:sz w:val="24"/>
      <w:szCs w:val="24"/>
      <w:lang w:bidi="ar-SA" w:val="sl-SI" w:eastAsia="zh-CN"/>
    </w:rPr>
  </w:style>
  <w:style w:type="paragraph" w:styleId="NoSpacing">
    <w:name w:val="No Spacing"/>
    <w:qFormat/>
    <w:rsid w:val="009f2214"/>
    <w:pPr>
      <w:widowControl/>
      <w:suppressAutoHyphens w:val="true"/>
      <w:bidi w:val="0"/>
      <w:spacing w:before="0" w:after="0"/>
      <w:jc w:val="left"/>
      <w:textAlignment w:val="auto"/>
    </w:pPr>
    <w:rPr>
      <w:rFonts w:ascii="Calibri" w:hAnsi="Calibri" w:eastAsia="Calibri" w:cs="Calibri"/>
      <w:color w:val="auto"/>
      <w:kern w:val="0"/>
      <w:sz w:val="22"/>
      <w:szCs w:val="22"/>
      <w:lang w:eastAsia="ar-SA" w:bidi="ar-SA" w:val="sl-SI"/>
    </w:rPr>
  </w:style>
  <w:style w:type="paragraph" w:styleId="Default" w:customStyle="1">
    <w:name w:val="Default"/>
    <w:basedOn w:val="Normal"/>
    <w:qFormat/>
    <w:rsid w:val="009d1592"/>
    <w:pPr>
      <w:widowControl/>
      <w:suppressAutoHyphens w:val="false"/>
      <w:textAlignment w:val="auto"/>
    </w:pPr>
    <w:rPr>
      <w:rFonts w:ascii="Tahoma" w:hAnsi="Tahoma" w:eastAsia="Calibri" w:cs="Tahoma" w:eastAsiaTheme="minorHAnsi"/>
      <w:color w:val="000000"/>
      <w:kern w:val="0"/>
      <w:lang w:eastAsia="en-US" w:bidi="ar-SA"/>
    </w:rPr>
  </w:style>
  <w:style w:type="paragraph" w:styleId="ListParagraph">
    <w:name w:val="List Paragraph"/>
    <w:basedOn w:val="Normal"/>
    <w:uiPriority w:val="34"/>
    <w:qFormat/>
    <w:rsid w:val="000004c5"/>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22888A-06B7-4F0F-9FBB-2326CFF4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Application>LibreOffice/7.3.2.2$Windows_X86_64 LibreOffice_project/49f2b1bff42cfccbd8f788c8dc32c1c309559be0</Application>
  <AppVersion>15.0000</AppVersion>
  <Pages>1</Pages>
  <Words>277</Words>
  <Characters>1621</Characters>
  <CharactersWithSpaces>1899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2021-01-28T13:50:00Z</dcterms:created>
  <dc:creator>marinceka</dc:creator>
  <dc:description/>
  <dc:language>sl-SI</dc:language>
  <cp:lastModifiedBy/>
  <cp:lastPrinted>2020-09-21T07:15:00Z</cp:lastPrinted>
  <dcterms:modified xsi:type="dcterms:W3CDTF">2022-09-02T14:40:41Z</dcterms:modified>
  <cp:revision>16</cp:revision>
  <dc:subject/>
  <dc:title>Na podlagi 18</dc:title>
</cp:coreProperties>
</file>

<file path=docProps/custom.xml><?xml version="1.0" encoding="utf-8"?>
<Properties xmlns="http://schemas.openxmlformats.org/officeDocument/2006/custom-properties" xmlns:vt="http://schemas.openxmlformats.org/officeDocument/2006/docPropsVTypes"/>
</file>