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8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0"/>
        <w:gridCol w:w="8227"/>
      </w:tblGrid>
      <w:tr w:rsidR="00C8056D">
        <w:tc>
          <w:tcPr>
            <w:tcW w:w="9639" w:type="dxa"/>
            <w:shd w:val="clear" w:color="auto" w:fill="auto"/>
          </w:tcPr>
          <w:p w:rsidR="00C8056D" w:rsidRDefault="004D112A">
            <w:pPr>
              <w:pStyle w:val="Standard"/>
              <w:widowControl w:val="0"/>
              <w:tabs>
                <w:tab w:val="left" w:pos="1134"/>
                <w:tab w:val="right" w:pos="13042"/>
              </w:tabs>
              <w:spacing w:line="400" w:lineRule="atLeast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Dokument: </w:t>
            </w:r>
          </w:p>
        </w:tc>
        <w:tc>
          <w:tcPr>
            <w:tcW w:w="8227" w:type="dxa"/>
            <w:shd w:val="clear" w:color="auto" w:fill="auto"/>
          </w:tcPr>
          <w:p w:rsidR="00C8056D" w:rsidRDefault="00C8056D">
            <w:pPr>
              <w:pStyle w:val="Standard"/>
              <w:widowControl w:val="0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 w:cs="Tahoma"/>
                <w:color w:val="000000"/>
              </w:rPr>
            </w:pPr>
          </w:p>
        </w:tc>
      </w:tr>
      <w:tr w:rsidR="00C8056D">
        <w:tc>
          <w:tcPr>
            <w:tcW w:w="9639" w:type="dxa"/>
            <w:shd w:val="clear" w:color="auto" w:fill="auto"/>
          </w:tcPr>
          <w:p w:rsidR="00C8056D" w:rsidRDefault="004D112A">
            <w:pPr>
              <w:pStyle w:val="Standard"/>
              <w:widowControl w:val="0"/>
              <w:spacing w:line="400" w:lineRule="atLeast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Datum: </w:t>
            </w:r>
            <w:r w:rsidRPr="001C377C">
              <w:rPr>
                <w:rFonts w:ascii="Verdana" w:hAnsi="Verdana" w:cs="Tahoma"/>
                <w:sz w:val="18"/>
                <w:szCs w:val="18"/>
              </w:rPr>
              <w:t>06.10.2022</w:t>
            </w:r>
          </w:p>
        </w:tc>
        <w:tc>
          <w:tcPr>
            <w:tcW w:w="8227" w:type="dxa"/>
            <w:shd w:val="clear" w:color="auto" w:fill="auto"/>
          </w:tcPr>
          <w:p w:rsidR="00C8056D" w:rsidRDefault="00C8056D">
            <w:pPr>
              <w:pStyle w:val="Standard"/>
              <w:widowControl w:val="0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/>
                <w:color w:val="000000"/>
              </w:rPr>
            </w:pPr>
          </w:p>
        </w:tc>
      </w:tr>
    </w:tbl>
    <w:p w:rsidR="00C8056D" w:rsidRDefault="00C8056D">
      <w:pPr>
        <w:pStyle w:val="Standard"/>
        <w:rPr>
          <w:rFonts w:ascii="Arial" w:hAnsi="Arial"/>
        </w:rPr>
      </w:pPr>
    </w:p>
    <w:p w:rsidR="00C8056D" w:rsidRDefault="004D112A">
      <w:pPr>
        <w:pStyle w:val="Standard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POTENCIALNI PONUDNIKI</w:t>
      </w:r>
    </w:p>
    <w:p w:rsidR="00C8056D" w:rsidRDefault="00C8056D">
      <w:pPr>
        <w:pStyle w:val="Standard"/>
        <w:rPr>
          <w:rFonts w:ascii="Verdana" w:hAnsi="Verdana" w:cs="Arial"/>
          <w:sz w:val="18"/>
          <w:szCs w:val="18"/>
        </w:rPr>
      </w:pPr>
    </w:p>
    <w:p w:rsidR="00C8056D" w:rsidRDefault="00C8056D">
      <w:pPr>
        <w:pStyle w:val="Standard"/>
        <w:rPr>
          <w:rFonts w:ascii="Verdana" w:hAnsi="Verdana" w:cs="Arial"/>
          <w:sz w:val="18"/>
          <w:szCs w:val="18"/>
        </w:rPr>
      </w:pPr>
    </w:p>
    <w:p w:rsidR="00C8056D" w:rsidRDefault="004D112A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Vabimo vas k oddaji ponudbe za </w:t>
      </w:r>
      <w:r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»</w:t>
      </w:r>
      <w:proofErr w:type="spellStart"/>
      <w:r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Prureditev</w:t>
      </w:r>
      <w:proofErr w:type="spellEnd"/>
      <w:r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 xml:space="preserve"> prostorov </w:t>
      </w:r>
      <w:proofErr w:type="spellStart"/>
      <w:r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radiofarmacije</w:t>
      </w:r>
      <w:proofErr w:type="spellEnd"/>
      <w:r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 xml:space="preserve"> v SB Nova Gorica«</w:t>
      </w:r>
    </w:p>
    <w:p w:rsidR="00C8056D" w:rsidRDefault="00C8056D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</w:p>
    <w:p w:rsidR="00C8056D" w:rsidRDefault="004D112A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1. Predmet ponudbe </w:t>
      </w:r>
    </w:p>
    <w:p w:rsidR="00C8056D" w:rsidRDefault="004D11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Predmet ponudbe je izvedba preureditve prostorov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radiofarmacije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za potrebe umestitve nove LAF komore skladno s priloženo skico in popisi del.</w:t>
      </w:r>
    </w:p>
    <w:p w:rsidR="00C8056D" w:rsidRDefault="00C8056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8056D" w:rsidRDefault="004D112A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 Obseg storitve </w:t>
      </w:r>
    </w:p>
    <w:p w:rsidR="00C8056D" w:rsidRDefault="004D11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Na podlagi priložene skice in popisa dela je potrebno izvesti preureditev prostorov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radiofarmacije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za potrebe umestitve nove LAF komore. Upoštevati je potrebno vse veljavne zakone na tem področju kot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tudiProstorsko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tehnično smernico TSG-12640-002:2021: Zdravstvene stavbe. </w:t>
      </w:r>
    </w:p>
    <w:p w:rsidR="00C8056D" w:rsidRDefault="00C8056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8056D" w:rsidRDefault="004D11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Naročnik zagotovi izbranemu ponudniku:</w:t>
      </w:r>
    </w:p>
    <w:p w:rsidR="00C8056D" w:rsidRDefault="004D112A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pojasnila na vprašanja izvajalca v zvezi z izvedbo,</w:t>
      </w:r>
    </w:p>
    <w:p w:rsidR="00C8056D" w:rsidRDefault="004D112A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omogoča večkratne oglede objekta po predhodnem dogovoru,</w:t>
      </w:r>
    </w:p>
    <w:p w:rsidR="00C8056D" w:rsidRDefault="004D112A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koordinatorja za varnost in zdravje pri delu na gradbišču.</w:t>
      </w:r>
    </w:p>
    <w:p w:rsidR="00C8056D" w:rsidRDefault="00C8056D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C8056D" w:rsidRDefault="004D11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Predhodni ogled objekta je obvezen pred oddajo ponudbe</w:t>
      </w:r>
    </w:p>
    <w:p w:rsidR="00C8056D" w:rsidRDefault="00C8056D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C8056D" w:rsidRDefault="004D112A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3. Rok izvedbe</w:t>
      </w:r>
    </w:p>
    <w:p w:rsidR="00C8056D" w:rsidRDefault="004D11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Ponudbeni rok za izvedbo predmeta ponudbe je </w:t>
      </w:r>
      <w:r w:rsidRPr="001C377C">
        <w:rPr>
          <w:rFonts w:ascii="Calibri" w:hAnsi="Calibri" w:cs="Calibri"/>
          <w:color w:val="auto"/>
          <w:sz w:val="22"/>
          <w:szCs w:val="22"/>
        </w:rPr>
        <w:t>40</w:t>
      </w:r>
      <w:r>
        <w:rPr>
          <w:rFonts w:ascii="Calibri" w:hAnsi="Calibri" w:cs="Calibri"/>
          <w:color w:val="auto"/>
          <w:sz w:val="22"/>
          <w:szCs w:val="22"/>
        </w:rPr>
        <w:t xml:space="preserve"> delovnih dni po prejemu naročila. </w:t>
      </w:r>
    </w:p>
    <w:p w:rsidR="00C8056D" w:rsidRDefault="00C8056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8056D" w:rsidRDefault="004D112A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4. Garancija</w:t>
      </w:r>
    </w:p>
    <w:p w:rsidR="00C8056D" w:rsidRDefault="004D11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Izvajalec jamči za solidnost gradnje 5 let in nudi splošni garancijski rok za izvedena dela in vgrajene naprave in opremo 2 leti. Izvajalec je dolžan predložiti:</w:t>
      </w:r>
    </w:p>
    <w:p w:rsidR="00C8056D" w:rsidRDefault="004D112A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garancijo na prvi poziv v višini 10 % od pogodbene vrednosti (z DDV) kot jamstvo za brezhibno delovanje oz. za odpravo napak v garancijski dobi.</w:t>
      </w:r>
    </w:p>
    <w:p w:rsidR="00C8056D" w:rsidRDefault="004D112A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Zavarovalno polico za zavarovanje objektov oz. pogodbenih del ter odgovornosti za čas gradnje od pričetka veljavnosti pogodbe do primopredaje sklenjeno pri zavarovalnici v višini najmanj 50.000 €.</w:t>
      </w:r>
    </w:p>
    <w:p w:rsidR="00C8056D" w:rsidRDefault="00C8056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8056D" w:rsidRDefault="004D112A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5. Način plačila</w:t>
      </w:r>
    </w:p>
    <w:p w:rsidR="00C8056D" w:rsidRDefault="004D11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30 dni po popravljeni storitvi.</w:t>
      </w:r>
    </w:p>
    <w:p w:rsidR="00C8056D" w:rsidRDefault="00C8056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8056D" w:rsidRDefault="004D11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Rok za oddajo ponudbe je </w:t>
      </w:r>
      <w:r w:rsidRPr="001C377C">
        <w:rPr>
          <w:rFonts w:ascii="Calibri" w:hAnsi="Calibri" w:cs="Calibri"/>
          <w:color w:val="auto"/>
          <w:sz w:val="22"/>
          <w:szCs w:val="22"/>
        </w:rPr>
        <w:t>petek, 14.10.2022</w:t>
      </w:r>
      <w:bookmarkStart w:id="0" w:name="_GoBack"/>
      <w:bookmarkEnd w:id="0"/>
      <w:r>
        <w:rPr>
          <w:rFonts w:ascii="Calibri" w:hAnsi="Calibri" w:cs="Calibri"/>
          <w:color w:val="auto"/>
          <w:sz w:val="22"/>
          <w:szCs w:val="22"/>
        </w:rPr>
        <w:t xml:space="preserve"> do 12.00 ure.</w:t>
      </w:r>
    </w:p>
    <w:p w:rsidR="00C8056D" w:rsidRDefault="00C8056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8056D" w:rsidRDefault="004D11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 dodatna pojasnila lahko pokličete na tel. 05/33-01-450 – tajništvo TOS-a.</w:t>
      </w:r>
    </w:p>
    <w:p w:rsidR="00C8056D" w:rsidRDefault="00C8056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8056D" w:rsidRDefault="004D11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Ponudbo pošljite na mail: nabava@bolnisnica-go.si.</w:t>
      </w:r>
    </w:p>
    <w:p w:rsidR="00C8056D" w:rsidRDefault="00C8056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8056D" w:rsidRDefault="00C8056D">
      <w:pPr>
        <w:pStyle w:val="Standard"/>
        <w:rPr>
          <w:rFonts w:ascii="Verdana" w:hAnsi="Verdana"/>
          <w:sz w:val="18"/>
          <w:szCs w:val="18"/>
        </w:rPr>
      </w:pPr>
    </w:p>
    <w:p w:rsidR="00C8056D" w:rsidRDefault="004D11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Calibri" w:hAnsi="Calibri" w:cs="Calibri"/>
          <w:color w:val="auto"/>
          <w:sz w:val="22"/>
          <w:szCs w:val="22"/>
        </w:rPr>
        <w:t>Dokument pripravil:</w:t>
      </w:r>
    </w:p>
    <w:p w:rsidR="00C8056D" w:rsidRDefault="004D11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ab/>
        <w:t xml:space="preserve">              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  <w:t xml:space="preserve">Branko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Podešva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univ.dipl.inž.str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.</w:t>
      </w:r>
    </w:p>
    <w:p w:rsidR="00C8056D" w:rsidRDefault="00C8056D">
      <w:pPr>
        <w:pStyle w:val="Standard"/>
        <w:spacing w:after="29"/>
        <w:rPr>
          <w:rFonts w:ascii="Arial" w:hAnsi="Arial"/>
          <w:b/>
          <w:sz w:val="22"/>
          <w:szCs w:val="22"/>
        </w:rPr>
      </w:pPr>
    </w:p>
    <w:sectPr w:rsidR="00C8056D">
      <w:headerReference w:type="default" r:id="rId8"/>
      <w:pgSz w:w="11906" w:h="16838"/>
      <w:pgMar w:top="1984" w:right="844" w:bottom="1134" w:left="1417" w:header="56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17E" w:rsidRDefault="004D112A">
      <w:pPr>
        <w:rPr>
          <w:rFonts w:hint="eastAsia"/>
        </w:rPr>
      </w:pPr>
      <w:r>
        <w:separator/>
      </w:r>
    </w:p>
  </w:endnote>
  <w:endnote w:type="continuationSeparator" w:id="0">
    <w:p w:rsidR="007F617E" w:rsidRDefault="004D11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17E" w:rsidRDefault="004D112A">
      <w:pPr>
        <w:rPr>
          <w:rFonts w:hint="eastAsia"/>
        </w:rPr>
      </w:pPr>
      <w:r>
        <w:separator/>
      </w:r>
    </w:p>
  </w:footnote>
  <w:footnote w:type="continuationSeparator" w:id="0">
    <w:p w:rsidR="007F617E" w:rsidRDefault="004D112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5550"/>
      <w:gridCol w:w="4080"/>
    </w:tblGrid>
    <w:tr w:rsidR="00C8056D">
      <w:tc>
        <w:tcPr>
          <w:tcW w:w="5549" w:type="dxa"/>
          <w:shd w:val="clear" w:color="auto" w:fill="auto"/>
        </w:tcPr>
        <w:p w:rsidR="00C8056D" w:rsidRDefault="00C8056D">
          <w:pPr>
            <w:pStyle w:val="Standard"/>
            <w:widowControl w:val="0"/>
            <w:spacing w:line="340" w:lineRule="exact"/>
          </w:pPr>
        </w:p>
        <w:p w:rsidR="00C8056D" w:rsidRDefault="00C8056D">
          <w:pPr>
            <w:pStyle w:val="Standard"/>
            <w:widowControl w:val="0"/>
            <w:spacing w:line="340" w:lineRule="exact"/>
          </w:pPr>
        </w:p>
        <w:p w:rsidR="00C8056D" w:rsidRDefault="00C8056D">
          <w:pPr>
            <w:pStyle w:val="Standard"/>
            <w:widowControl w:val="0"/>
            <w:spacing w:line="340" w:lineRule="exact"/>
          </w:pPr>
        </w:p>
        <w:p w:rsidR="00C8056D" w:rsidRDefault="004D112A">
          <w:pPr>
            <w:pStyle w:val="Standard"/>
            <w:widowControl w:val="0"/>
            <w:spacing w:line="340" w:lineRule="exact"/>
            <w:rPr>
              <w:rFonts w:ascii="Tahoma" w:hAnsi="Tahoma" w:cs="Tahoma"/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2994025" cy="762000"/>
                <wp:effectExtent l="0" t="0" r="0" b="0"/>
                <wp:docPr id="1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402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shd w:val="clear" w:color="auto" w:fill="auto"/>
        </w:tcPr>
        <w:p w:rsidR="00C8056D" w:rsidRDefault="00C8056D">
          <w:pPr>
            <w:rPr>
              <w:rFonts w:ascii="Verdana" w:hAnsi="Verdana"/>
              <w:color w:val="008996"/>
              <w:sz w:val="18"/>
              <w:szCs w:val="18"/>
            </w:rPr>
          </w:pPr>
        </w:p>
        <w:p w:rsidR="00C8056D" w:rsidRDefault="004D112A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>Ulica padlih borcev 13a</w:t>
          </w:r>
        </w:p>
        <w:p w:rsidR="00C8056D" w:rsidRDefault="004D112A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 xml:space="preserve">5290 Šempeter pri Gorici </w:t>
          </w:r>
        </w:p>
        <w:p w:rsidR="00C8056D" w:rsidRDefault="004D112A">
          <w:pPr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T: 05 33 01 000 / F: 05 33 01 057</w:t>
          </w:r>
        </w:p>
        <w:p w:rsidR="00C8056D" w:rsidRDefault="004D112A">
          <w:pPr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E: tajnistvo@bolnisnica-go.si</w:t>
          </w:r>
        </w:p>
        <w:p w:rsidR="00C8056D" w:rsidRDefault="004D112A">
          <w:pPr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W: www.bolnisnica-go.si</w:t>
          </w:r>
        </w:p>
        <w:p w:rsidR="00C8056D" w:rsidRDefault="00C8056D">
          <w:pPr>
            <w:pStyle w:val="Standard"/>
            <w:widowControl w:val="0"/>
            <w:tabs>
              <w:tab w:val="left" w:pos="1469"/>
            </w:tabs>
            <w:ind w:left="680" w:hanging="397"/>
            <w:rPr>
              <w:rFonts w:ascii="Verdana" w:hAnsi="Verdana" w:cs="Verdana"/>
              <w:color w:val="000000"/>
              <w:spacing w:val="20"/>
              <w:sz w:val="20"/>
              <w:szCs w:val="20"/>
            </w:rPr>
          </w:pPr>
        </w:p>
      </w:tc>
    </w:tr>
  </w:tbl>
  <w:p w:rsidR="00C8056D" w:rsidRDefault="00C8056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A41E0"/>
    <w:multiLevelType w:val="multilevel"/>
    <w:tmpl w:val="C56A30BC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BF5CA2"/>
    <w:multiLevelType w:val="multilevel"/>
    <w:tmpl w:val="0FE629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6D"/>
    <w:rsid w:val="001C377C"/>
    <w:rsid w:val="004D112A"/>
    <w:rsid w:val="007F617E"/>
    <w:rsid w:val="00C8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43586-3BB0-4396-BD46-E21EAE0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 w:val="24"/>
        <w:szCs w:val="24"/>
        <w:lang w:val="sl-S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  <w:textAlignment w:val="baseline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Symbol" w:hAnsi="Symbol" w:cs="Symbol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Wingdings" w:eastAsia="Wingdings" w:hAnsi="Wingdings" w:cs="Wingdings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  <w:rPr>
      <w:rFonts w:ascii="Symbol" w:eastAsia="Symbol" w:hAnsi="Symbol" w:cs="Symbol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  <w:rPr>
      <w:rFonts w:ascii="Symbol" w:eastAsia="Symbol" w:hAnsi="Symbol" w:cs="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  <w:rPr>
      <w:rFonts w:ascii="Symbol" w:eastAsia="Symbol" w:hAnsi="Symbol" w:cs="Symbo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  <w:rPr>
      <w:rFonts w:ascii="Symbol" w:eastAsia="Symbol" w:hAnsi="Symbol" w:cs="Symbol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Privzetapisavaodstavka1">
    <w:name w:val="Privzeta pisava odstavka1"/>
    <w:qFormat/>
  </w:style>
  <w:style w:type="character" w:customStyle="1" w:styleId="Hiperpovezava1">
    <w:name w:val="Hiperpovezava1"/>
    <w:qFormat/>
    <w:rPr>
      <w:color w:val="0000FF"/>
      <w:u w:val="single"/>
    </w:rPr>
  </w:style>
  <w:style w:type="character" w:customStyle="1" w:styleId="BesedilooblakaZnak">
    <w:name w:val="Besedilo oblačka Znak"/>
    <w:qFormat/>
    <w:rPr>
      <w:rFonts w:ascii="Segoe UI" w:eastAsia="Segoe UI" w:hAnsi="Segoe UI" w:cs="Segoe UI"/>
      <w:sz w:val="18"/>
      <w:szCs w:val="18"/>
    </w:rPr>
  </w:style>
  <w:style w:type="character" w:customStyle="1" w:styleId="GlavaZnak">
    <w:name w:val="Glava Znak"/>
    <w:qFormat/>
    <w:rPr>
      <w:sz w:val="24"/>
      <w:szCs w:val="24"/>
    </w:rPr>
  </w:style>
  <w:style w:type="character" w:customStyle="1" w:styleId="NogaZnak">
    <w:name w:val="Noga Znak"/>
    <w:qFormat/>
    <w:rPr>
      <w:sz w:val="24"/>
      <w:szCs w:val="24"/>
    </w:rPr>
  </w:style>
  <w:style w:type="paragraph" w:customStyle="1" w:styleId="Naslov1">
    <w:name w:val="Naslov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b/>
      <w:bCs/>
    </w:rPr>
  </w:style>
  <w:style w:type="paragraph" w:customStyle="1" w:styleId="Naslov10">
    <w:name w:val="Naslov1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Besedilooblaka">
    <w:name w:val="Balloon Text"/>
    <w:basedOn w:val="Standard"/>
    <w:qFormat/>
    <w:rPr>
      <w:rFonts w:ascii="Segoe UI" w:eastAsia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Standard"/>
    <w:pPr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Vsebinatabele">
    <w:name w:val="Vsebina tabele"/>
    <w:basedOn w:val="Standard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paragraph" w:customStyle="1" w:styleId="WW-Privzeto">
    <w:name w:val="WW-Privzeto"/>
    <w:qFormat/>
    <w:pPr>
      <w:widowControl w:val="0"/>
      <w:textAlignment w:val="baseline"/>
    </w:pPr>
    <w:rPr>
      <w:rFonts w:ascii="Calibri" w:eastAsia="Calibri" w:hAnsi="Calibri" w:cs="Calibri"/>
    </w:rPr>
  </w:style>
  <w:style w:type="paragraph" w:customStyle="1" w:styleId="WW-Privzeto1">
    <w:name w:val="WW-Privzeto1"/>
    <w:qFormat/>
    <w:pPr>
      <w:widowControl w:val="0"/>
      <w:textAlignment w:val="baseline"/>
    </w:pPr>
    <w:rPr>
      <w:rFonts w:ascii="Calibri" w:eastAsia="Calibri" w:hAnsi="Calibri" w:cs="Calibri"/>
    </w:rPr>
  </w:style>
  <w:style w:type="paragraph" w:customStyle="1" w:styleId="WW-Privzeto12">
    <w:name w:val="WW-Privzeto12"/>
    <w:qFormat/>
    <w:pPr>
      <w:widowControl w:val="0"/>
      <w:textAlignment w:val="baseline"/>
    </w:pPr>
    <w:rPr>
      <w:rFonts w:ascii="Calibri" w:eastAsia="Calibri" w:hAnsi="Calibri" w:cs="Calibri"/>
    </w:rPr>
  </w:style>
  <w:style w:type="paragraph" w:customStyle="1" w:styleId="Privzeto">
    <w:name w:val="Privzeto"/>
    <w:qFormat/>
    <w:pPr>
      <w:widowControl w:val="0"/>
      <w:textAlignment w:val="baseline"/>
    </w:pPr>
    <w:rPr>
      <w:rFonts w:ascii="Calibri" w:eastAsia="Times New Roman" w:hAnsi="Calibri" w:cs="Calibri"/>
      <w:lang w:bidi="ar-SA"/>
    </w:rPr>
  </w:style>
  <w:style w:type="paragraph" w:styleId="Brezrazmikov">
    <w:name w:val="No Spacing"/>
    <w:qFormat/>
    <w:rsid w:val="009F2214"/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customStyle="1" w:styleId="Default">
    <w:name w:val="Default"/>
    <w:basedOn w:val="Navaden"/>
    <w:qFormat/>
    <w:rsid w:val="009D1592"/>
    <w:pPr>
      <w:widowControl/>
      <w:suppressAutoHyphens w:val="0"/>
      <w:textAlignment w:val="auto"/>
    </w:pPr>
    <w:rPr>
      <w:rFonts w:ascii="Tahoma" w:eastAsiaTheme="minorHAnsi" w:hAnsi="Tahoma" w:cs="Tahoma"/>
      <w:color w:val="000000"/>
      <w:kern w:val="0"/>
      <w:lang w:eastAsia="en-US" w:bidi="ar-SA"/>
    </w:rPr>
  </w:style>
  <w:style w:type="paragraph" w:styleId="Odstavekseznama">
    <w:name w:val="List Paragraph"/>
    <w:basedOn w:val="Navaden"/>
    <w:uiPriority w:val="34"/>
    <w:qFormat/>
    <w:rsid w:val="000004C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E8190C-27E8-4FAE-89D9-E5C3B0C1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18</dc:title>
  <dc:subject/>
  <dc:creator>marinceka</dc:creator>
  <dc:description/>
  <cp:lastModifiedBy>uporabnik</cp:lastModifiedBy>
  <cp:revision>3</cp:revision>
  <cp:lastPrinted>2022-10-06T13:11:00Z</cp:lastPrinted>
  <dcterms:created xsi:type="dcterms:W3CDTF">2022-10-06T13:17:00Z</dcterms:created>
  <dcterms:modified xsi:type="dcterms:W3CDTF">2022-10-07T16:45:00Z</dcterms:modified>
  <dc:language>sl-SI</dc:language>
</cp:coreProperties>
</file>